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6998" w:rsidR="00976998" w:rsidP="00976998" w:rsidRDefault="00067EAB" w14:paraId="5AB5BA37" w14:textId="77777777">
      <w:pPr>
        <w:ind w:right="566"/>
        <w:jc w:val="both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L</w:t>
      </w:r>
      <w:r w:rsidR="00985305">
        <w:rPr>
          <w:b/>
          <w:bCs/>
          <w:color w:val="000080"/>
          <w:sz w:val="28"/>
          <w:szCs w:val="28"/>
        </w:rPr>
        <w:t xml:space="preserve">isäkilpirauhasen </w:t>
      </w:r>
      <w:r w:rsidR="00924E31">
        <w:rPr>
          <w:b/>
          <w:bCs/>
          <w:color w:val="000080"/>
          <w:sz w:val="28"/>
          <w:szCs w:val="28"/>
        </w:rPr>
        <w:t>gammakuvaus</w:t>
      </w:r>
    </w:p>
    <w:p w:rsidR="006B00DC" w:rsidP="00976998" w:rsidRDefault="006B00DC" w14:paraId="0F72A105" w14:textId="77777777">
      <w:pPr>
        <w:rPr>
          <w:b/>
          <w:color w:val="800080"/>
        </w:rPr>
      </w:pPr>
    </w:p>
    <w:p w:rsidR="00976998" w:rsidP="00976998" w:rsidRDefault="00976998" w14:paraId="5AB5BA39" w14:textId="77777777">
      <w:pPr>
        <w:rPr>
          <w:b/>
          <w:color w:val="800080"/>
        </w:rPr>
      </w:pPr>
      <w:r>
        <w:rPr>
          <w:b/>
          <w:color w:val="800080"/>
        </w:rPr>
        <w:t>Tutkimuspaikka</w:t>
      </w:r>
    </w:p>
    <w:p w:rsidR="006B00DC" w:rsidP="00976998" w:rsidRDefault="006B00DC" w14:paraId="7A308EE6" w14:textId="77777777">
      <w:pPr>
        <w:rPr>
          <w:b/>
          <w:color w:val="800080"/>
        </w:rPr>
      </w:pPr>
      <w:bookmarkStart w:name="_GoBack" w:id="0"/>
      <w:bookmarkEnd w:id="0"/>
    </w:p>
    <w:p w:rsidR="006B00DC" w:rsidP="006B00DC" w:rsidRDefault="006B00DC" w14:paraId="6BE09DE4" w14:textId="4020F08F">
      <w:r w:rsidRPr="008D5115">
        <w:t>Sisäänkäynti on uuden sairaalan pääovesta F1. Kuvantaminen sijaitsee pääaulasta</w:t>
      </w:r>
      <w:r w:rsidR="00C61BA5">
        <w:t xml:space="preserve"> eteenpäin ja</w:t>
      </w:r>
      <w:r w:rsidRPr="008D5115">
        <w:t xml:space="preserve"> vasemmalla. Ilmoittau</w:t>
      </w:r>
      <w:r w:rsidR="001521D3">
        <w:t>du</w:t>
      </w:r>
      <w:r w:rsidR="00C61BA5">
        <w:t xml:space="preserve"> kuvantamisen tiloissa </w:t>
      </w:r>
      <w:r w:rsidRPr="008D5115">
        <w:t>olevalla ilmoittautumisautomaatilla Kela-kortilla tai muulla virallisella henkilöllisyystodistuksella.</w:t>
      </w:r>
      <w:r>
        <w:t xml:space="preserve"> Siir</w:t>
      </w:r>
      <w:r w:rsidR="001521D3">
        <w:t xml:space="preserve">ry </w:t>
      </w:r>
      <w:r>
        <w:t>odottamaan odotusaulaan 8.</w:t>
      </w:r>
      <w:r>
        <w:br/>
      </w:r>
    </w:p>
    <w:p w:rsidRPr="009E6358" w:rsidR="00493CBE" w:rsidP="006B00DC" w:rsidRDefault="006B00DC" w14:paraId="70A4451D" w14:textId="231620A0">
      <w:pPr>
        <w:rPr>
          <w:b/>
          <w:bCs/>
        </w:rPr>
      </w:pPr>
      <w:r w:rsidRPr="008D5115">
        <w:t>Korut ja arvoesineet pyydämme jättämään kotiin</w:t>
      </w:r>
      <w:r w:rsidRPr="009E6358" w:rsidR="00493CBE">
        <w:t>.</w:t>
      </w:r>
    </w:p>
    <w:p w:rsidRPr="00DB582D" w:rsidR="00493CBE" w:rsidP="00493CBE" w:rsidRDefault="00493CBE" w14:paraId="68FC646A" w14:textId="77777777">
      <w:pPr>
        <w:rPr>
          <w:b/>
          <w:color w:val="800080"/>
        </w:rPr>
      </w:pPr>
    </w:p>
    <w:p w:rsidR="006B00DC" w:rsidP="006B00DC" w:rsidRDefault="00976998" w14:paraId="44AA1CA9" w14:textId="77777777">
      <w:pPr>
        <w:rPr>
          <w:b/>
          <w:color w:val="800080"/>
        </w:rPr>
      </w:pPr>
      <w:r>
        <w:rPr>
          <w:b/>
          <w:color w:val="800080"/>
        </w:rPr>
        <w:t>Yleistä</w:t>
      </w:r>
      <w:r w:rsidR="006B00DC">
        <w:rPr>
          <w:b/>
          <w:color w:val="800080"/>
        </w:rPr>
        <w:br/>
      </w:r>
    </w:p>
    <w:p w:rsidRPr="00493CBE" w:rsidR="007D28B3" w:rsidP="006B00DC" w:rsidRDefault="007D28B3" w14:paraId="5AB5BA40" w14:textId="4AB966B4">
      <w:r w:rsidRPr="00493CBE">
        <w:t xml:space="preserve">Tutkimuksella selvitetään lisäkilpirauhasen toimintaa, muotoa ja kokoa. Tutkimustuloksesta lähetetään lausunto </w:t>
      </w:r>
      <w:r w:rsidR="00C61BA5">
        <w:t>h</w:t>
      </w:r>
      <w:r w:rsidRPr="00493CBE">
        <w:t>oitavalle lääkärille.</w:t>
      </w:r>
    </w:p>
    <w:p w:rsidRPr="007D28B3" w:rsidR="00976998" w:rsidP="00C61BA5" w:rsidRDefault="00976998" w14:paraId="5AB5BA41" w14:textId="45A5EF8A">
      <w:pPr>
        <w:ind w:right="566"/>
        <w:jc w:val="both"/>
        <w:rPr>
          <w:sz w:val="22"/>
          <w:szCs w:val="22"/>
        </w:rPr>
      </w:pPr>
    </w:p>
    <w:p w:rsidR="006B00DC" w:rsidP="006B00DC" w:rsidRDefault="00976998" w14:paraId="41D29D73" w14:textId="77777777">
      <w:pPr>
        <w:rPr>
          <w:b/>
          <w:color w:val="800080"/>
        </w:rPr>
      </w:pPr>
      <w:r>
        <w:rPr>
          <w:b/>
          <w:color w:val="800080"/>
        </w:rPr>
        <w:t>Tutkimukseen valmistautuminen</w:t>
      </w:r>
      <w:r w:rsidR="006B00DC">
        <w:rPr>
          <w:b/>
          <w:color w:val="800080"/>
        </w:rPr>
        <w:br/>
      </w:r>
    </w:p>
    <w:p w:rsidR="00182B25" w:rsidP="006B00DC" w:rsidRDefault="00CE1800" w14:paraId="5AB5BA44" w14:textId="47EF2D87">
      <w:r>
        <w:t>Noudata mahdollista hoitavan lääkärin antamaa lääketauko-ohjetta.</w:t>
      </w:r>
    </w:p>
    <w:p w:rsidR="00CE1800" w:rsidP="00CE1800" w:rsidRDefault="00CE1800" w14:paraId="66899B55" w14:textId="6DB54439">
      <w:pPr>
        <w:pStyle w:val="Luettelokappale"/>
        <w:numPr>
          <w:ilvl w:val="0"/>
          <w:numId w:val="15"/>
        </w:numPr>
        <w:ind w:right="566"/>
        <w:jc w:val="both"/>
      </w:pPr>
      <w:r>
        <w:t xml:space="preserve">Yleensä </w:t>
      </w:r>
      <w:proofErr w:type="spellStart"/>
      <w:r>
        <w:t>Thyroxin</w:t>
      </w:r>
      <w:proofErr w:type="spellEnd"/>
      <w:r>
        <w:t xml:space="preserve"> keskeytetään 2 viikkoa ennen tutkimusta. Kilpirauhasen poiston jälkeistä tyroksiinihoitoa ei keskeytetä.</w:t>
      </w:r>
    </w:p>
    <w:p w:rsidR="00CE1800" w:rsidP="00CE1800" w:rsidRDefault="00CE1800" w14:paraId="1DEE66EC" w14:textId="5456A2F2">
      <w:pPr>
        <w:pStyle w:val="Luettelokappale"/>
        <w:numPr>
          <w:ilvl w:val="0"/>
          <w:numId w:val="15"/>
        </w:numPr>
        <w:ind w:right="566"/>
        <w:jc w:val="both"/>
      </w:pPr>
      <w:proofErr w:type="spellStart"/>
      <w:r>
        <w:t>Tyrazol</w:t>
      </w:r>
      <w:proofErr w:type="spellEnd"/>
      <w:r>
        <w:t xml:space="preserve"> keskeytetään 3 vrk ennen tutkimusta.</w:t>
      </w:r>
    </w:p>
    <w:p w:rsidR="00CE1800" w:rsidP="00CE1800" w:rsidRDefault="00CE1800" w14:paraId="3A4DC3A0" w14:textId="2D24B11B">
      <w:pPr>
        <w:pStyle w:val="Luettelokappale"/>
        <w:numPr>
          <w:ilvl w:val="0"/>
          <w:numId w:val="15"/>
        </w:numPr>
        <w:ind w:right="566"/>
        <w:jc w:val="both"/>
      </w:pPr>
      <w:r>
        <w:t xml:space="preserve">Jodipitoiset varjoaineet tai runsas jodin käyttö heikentävät radiolääkkeen kertymistä kilpirauhaseen, siksi niiden käyttöä tulisi välttää ennen tutkimusta. Röntgenvarjoaineiden lisäksi jodia sisältäviä lääkkeitä tai valmisteita ovat esim. joditabletit, rytmihäiriölääke </w:t>
      </w:r>
      <w:proofErr w:type="spellStart"/>
      <w:r>
        <w:t>amiodaroni</w:t>
      </w:r>
      <w:proofErr w:type="spellEnd"/>
      <w:r>
        <w:t xml:space="preserve"> (</w:t>
      </w:r>
      <w:proofErr w:type="spellStart"/>
      <w:r>
        <w:t>Cordarone</w:t>
      </w:r>
      <w:proofErr w:type="spellEnd"/>
      <w:r>
        <w:t>) ja merilevätabletit sekä merilevää sisältävä sushi-ateria.</w:t>
      </w:r>
    </w:p>
    <w:p w:rsidR="00CE1800" w:rsidP="00CE1800" w:rsidRDefault="00CE1800" w14:paraId="69A9AB7C" w14:textId="04EBF3B8">
      <w:pPr>
        <w:pStyle w:val="Luettelokappale"/>
        <w:numPr>
          <w:ilvl w:val="0"/>
          <w:numId w:val="15"/>
        </w:numPr>
        <w:ind w:right="566"/>
        <w:jc w:val="both"/>
      </w:pPr>
      <w:r>
        <w:t>Ruokasuolaa, joka sisältää jodia, voi käyttää normaalisti.</w:t>
      </w:r>
    </w:p>
    <w:p w:rsidRPr="00493CBE" w:rsidR="00CE1800" w:rsidP="00CE1800" w:rsidRDefault="00CE1800" w14:paraId="73AB125A" w14:textId="6AF19868">
      <w:pPr>
        <w:pStyle w:val="Luettelokappale"/>
        <w:numPr>
          <w:ilvl w:val="0"/>
          <w:numId w:val="15"/>
        </w:numPr>
        <w:ind w:right="566"/>
        <w:jc w:val="both"/>
      </w:pPr>
      <w:r>
        <w:t>Yliherkkyys jodipitoisille aineille ei ole este tutkimukselle.</w:t>
      </w:r>
    </w:p>
    <w:p w:rsidR="00976998" w:rsidP="00976998" w:rsidRDefault="00976998" w14:paraId="5AB5BA45" w14:textId="77777777"/>
    <w:p w:rsidR="006B00DC" w:rsidP="006B00DC" w:rsidRDefault="00976998" w14:paraId="29A54A1F" w14:textId="77777777">
      <w:pPr>
        <w:rPr>
          <w:b/>
          <w:color w:val="800080"/>
        </w:rPr>
      </w:pPr>
      <w:r>
        <w:rPr>
          <w:b/>
          <w:color w:val="800080"/>
        </w:rPr>
        <w:t>Tutkimuksen suorittaminen</w:t>
      </w:r>
      <w:r w:rsidR="006B00DC">
        <w:rPr>
          <w:b/>
          <w:color w:val="800080"/>
        </w:rPr>
        <w:br/>
      </w:r>
    </w:p>
    <w:p w:rsidR="006B00DC" w:rsidP="006B00DC" w:rsidRDefault="006B00DC" w14:paraId="5787A1DC" w14:textId="77777777">
      <w:r>
        <w:t>Tutkimus on kolmivaiheinen.</w:t>
      </w:r>
    </w:p>
    <w:p w:rsidR="0001177B" w:rsidP="0001177B" w:rsidRDefault="001521D3" w14:paraId="0545AA51" w14:textId="77777777">
      <w:pPr>
        <w:pStyle w:val="Luettelokappale"/>
        <w:numPr>
          <w:ilvl w:val="0"/>
          <w:numId w:val="15"/>
        </w:numPr>
      </w:pPr>
      <w:r>
        <w:t>Kyynärtaipeen laskimoon laitetaan kanyyli. Ensimmäisessä vaiheessa annetaan lääkeinjektio kanyylin kautta</w:t>
      </w:r>
      <w:r w:rsidR="006B00DC">
        <w:t>.</w:t>
      </w:r>
    </w:p>
    <w:p w:rsidR="006B00DC" w:rsidP="0001177B" w:rsidRDefault="007D28B3" w14:paraId="6FE76D11" w14:textId="7AA709D0">
      <w:pPr>
        <w:pStyle w:val="Luettelokappale"/>
        <w:numPr>
          <w:ilvl w:val="0"/>
          <w:numId w:val="15"/>
        </w:numPr>
      </w:pPr>
      <w:r w:rsidRPr="00493CBE">
        <w:t xml:space="preserve">Kaulan aluetta kuvataan 2,5 tunnin kuluttua lääkkeen annosta </w:t>
      </w:r>
      <w:r w:rsidR="0001177B">
        <w:t xml:space="preserve">noin tunnin </w:t>
      </w:r>
      <w:r w:rsidRPr="00493CBE">
        <w:t>ajan</w:t>
      </w:r>
      <w:r w:rsidR="0001177B">
        <w:t>, jonka aikana annetaan</w:t>
      </w:r>
      <w:r w:rsidRPr="00493CBE" w:rsidR="00291906">
        <w:t xml:space="preserve"> toinen merkkiaine </w:t>
      </w:r>
      <w:r w:rsidR="001521D3">
        <w:t>kanyylin kautta</w:t>
      </w:r>
      <w:r w:rsidR="0001177B">
        <w:t>.</w:t>
      </w:r>
    </w:p>
    <w:p w:rsidR="006B00DC" w:rsidP="006B00DC" w:rsidRDefault="001521D3" w14:paraId="66001C7C" w14:textId="5368A378">
      <w:pPr>
        <w:pStyle w:val="Luettelokappale"/>
        <w:numPr>
          <w:ilvl w:val="0"/>
          <w:numId w:val="15"/>
        </w:numPr>
      </w:pPr>
      <w:r>
        <w:t>Tämän jälkeen</w:t>
      </w:r>
      <w:r w:rsidRPr="00493CBE" w:rsidR="007D28B3">
        <w:t xml:space="preserve"> o</w:t>
      </w:r>
      <w:r>
        <w:t xml:space="preserve">n </w:t>
      </w:r>
      <w:r w:rsidR="0001177B">
        <w:t>noin</w:t>
      </w:r>
      <w:r>
        <w:t xml:space="preserve"> tunnin tauko. Sitten </w:t>
      </w:r>
      <w:r w:rsidRPr="00493CBE" w:rsidR="007D28B3">
        <w:t>kaula</w:t>
      </w:r>
      <w:r w:rsidR="006B00DC">
        <w:t>n aluetta kuvataan uudelleen</w:t>
      </w:r>
      <w:r w:rsidR="0001177B">
        <w:t xml:space="preserve"> 10 minuuttia</w:t>
      </w:r>
      <w:r w:rsidR="006B00DC">
        <w:t>.</w:t>
      </w:r>
      <w:r w:rsidR="0001177B">
        <w:t xml:space="preserve"> </w:t>
      </w:r>
      <w:r w:rsidRPr="00493CBE" w:rsidR="0001177B">
        <w:t>Tutkimukseen tulee varata aikaa n. kuusi tuntia.</w:t>
      </w:r>
    </w:p>
    <w:p w:rsidRPr="00355C7A" w:rsidR="007D28B3" w:rsidP="0001177B" w:rsidRDefault="007D28B3" w14:paraId="5AB5BA49" w14:textId="77777777">
      <w:pPr>
        <w:ind w:right="566"/>
        <w:rPr>
          <w:sz w:val="23"/>
          <w:szCs w:val="23"/>
        </w:rPr>
      </w:pPr>
    </w:p>
    <w:p w:rsidR="006B00DC" w:rsidP="006B00DC" w:rsidRDefault="00976998" w14:paraId="359F008D" w14:textId="77777777">
      <w:pPr>
        <w:tabs>
          <w:tab w:val="right" w:pos="10205"/>
        </w:tabs>
        <w:rPr>
          <w:b/>
          <w:color w:val="800080"/>
        </w:rPr>
      </w:pPr>
      <w:r>
        <w:rPr>
          <w:b/>
          <w:color w:val="800080"/>
        </w:rPr>
        <w:t>Jälkitoimenpiteet</w:t>
      </w:r>
      <w:r w:rsidR="006B00DC">
        <w:rPr>
          <w:b/>
          <w:color w:val="800080"/>
        </w:rPr>
        <w:br/>
      </w:r>
    </w:p>
    <w:p w:rsidR="006B00DC" w:rsidP="006B00DC" w:rsidRDefault="00067EAB" w14:paraId="0EF6BF5C" w14:textId="77777777">
      <w:pPr>
        <w:tabs>
          <w:tab w:val="right" w:pos="10205"/>
        </w:tabs>
      </w:pPr>
      <w:r w:rsidRPr="00493CBE">
        <w:t>Merkkiaineen pisto vastaa verikokeen ottoa, muuten tutkimus on kivuton.</w:t>
      </w:r>
      <w:r w:rsidR="006B00DC">
        <w:br/>
      </w:r>
    </w:p>
    <w:p w:rsidR="006B00DC" w:rsidP="006B00DC" w:rsidRDefault="00067EAB" w14:paraId="05286722" w14:textId="7E86991D">
      <w:pPr>
        <w:tabs>
          <w:tab w:val="right" w:pos="10205"/>
        </w:tabs>
      </w:pPr>
      <w:r w:rsidRPr="00493CBE">
        <w:t>Käytettäväll</w:t>
      </w:r>
      <w:r w:rsidR="001521D3">
        <w:t>e merkkiaineelle</w:t>
      </w:r>
      <w:r w:rsidRPr="00493CBE">
        <w:t xml:space="preserve"> ei ole todettu sivu- eikä jälkivaikutuksia, </w:t>
      </w:r>
      <w:r w:rsidRPr="00493CBE">
        <w:rPr>
          <w:b/>
          <w:bCs/>
        </w:rPr>
        <w:t>aineelle ei ole tavattu yliherkkyyttä</w:t>
      </w:r>
      <w:r w:rsidR="006B00DC">
        <w:t>.</w:t>
      </w:r>
      <w:r w:rsidR="006B00DC">
        <w:br/>
      </w:r>
      <w:r w:rsidR="006B00DC">
        <w:br/>
      </w:r>
      <w:r w:rsidRPr="00493CBE">
        <w:t xml:space="preserve">Jos </w:t>
      </w:r>
      <w:r w:rsidR="001521D3">
        <w:t>sinulla</w:t>
      </w:r>
      <w:r w:rsidRPr="00493CBE">
        <w:t xml:space="preserve"> on </w:t>
      </w:r>
      <w:r w:rsidRPr="00493CBE">
        <w:rPr>
          <w:b/>
          <w:bCs/>
        </w:rPr>
        <w:t>verikokeissa</w:t>
      </w:r>
      <w:r w:rsidRPr="00493CBE">
        <w:t xml:space="preserve"> käynti, ilmoita siitä </w:t>
      </w:r>
      <w:r w:rsidRPr="00493CBE">
        <w:rPr>
          <w:b/>
          <w:bCs/>
        </w:rPr>
        <w:t>isotoopin hoitajalle.</w:t>
      </w:r>
      <w:r w:rsidR="006B00DC">
        <w:rPr>
          <w:b/>
          <w:bCs/>
        </w:rPr>
        <w:br/>
      </w:r>
      <w:r w:rsidR="006B00DC">
        <w:rPr>
          <w:b/>
          <w:bCs/>
        </w:rPr>
        <w:lastRenderedPageBreak/>
        <w:br/>
      </w:r>
      <w:r w:rsidRPr="00493CBE" w:rsidR="00291906">
        <w:t xml:space="preserve">Merkkiaineiden </w:t>
      </w:r>
      <w:r w:rsidRPr="00493CBE">
        <w:t>jälkeisen</w:t>
      </w:r>
      <w:r w:rsidRPr="00493CBE" w:rsidR="00291906">
        <w:t xml:space="preserve">/välisen </w:t>
      </w:r>
      <w:r w:rsidRPr="00493CBE">
        <w:t>odotusajan voit olla vapaasti sairaala-alueella tai käydä esim. kaupunkiasioilla voin</w:t>
      </w:r>
      <w:r w:rsidR="001521D3">
        <w:t xml:space="preserve">nin </w:t>
      </w:r>
      <w:r w:rsidRPr="00493CBE">
        <w:t>mukaan.</w:t>
      </w:r>
      <w:r w:rsidR="006B00DC">
        <w:br/>
      </w:r>
    </w:p>
    <w:p w:rsidR="006B00DC" w:rsidP="006B00DC" w:rsidRDefault="00067EAB" w14:paraId="1328A5EE" w14:textId="09E36D68">
      <w:pPr>
        <w:tabs>
          <w:tab w:val="right" w:pos="10205"/>
        </w:tabs>
      </w:pPr>
      <w:r w:rsidRPr="00493CBE">
        <w:t>Tutkimuspäivän</w:t>
      </w:r>
      <w:r w:rsidRPr="00493CBE" w:rsidR="005135FA">
        <w:t>ä</w:t>
      </w:r>
      <w:r w:rsidR="00C61BA5">
        <w:t xml:space="preserve"> sinun</w:t>
      </w:r>
      <w:r w:rsidRPr="00493CBE">
        <w:t xml:space="preserve"> on suositeltavaa juoda nestettä normaalia runsaammin ja käydä tyhjentämässä virtsarakko mahdollisimman usein, näin merkkiaine poistuu kehosta nopeammin.</w:t>
      </w:r>
      <w:r w:rsidR="006B00DC">
        <w:br/>
      </w:r>
    </w:p>
    <w:p w:rsidR="006B00DC" w:rsidP="006B00DC" w:rsidRDefault="00067EAB" w14:paraId="46B645E6" w14:textId="27F1907C">
      <w:pPr>
        <w:tabs>
          <w:tab w:val="right" w:pos="10205"/>
        </w:tabs>
      </w:pPr>
      <w:r w:rsidRPr="00493CBE">
        <w:t>Jos olet</w:t>
      </w:r>
      <w:r w:rsidR="001521D3">
        <w:t xml:space="preserve"> </w:t>
      </w:r>
      <w:r w:rsidRPr="00493CBE">
        <w:t>lähdössä tutkimuspäivänä tai sitä</w:t>
      </w:r>
      <w:r w:rsidR="006B00DC">
        <w:t xml:space="preserve"> seuraavana päivänä ulkomaille,</w:t>
      </w:r>
      <w:r w:rsidR="00C61BA5">
        <w:t xml:space="preserve"> </w:t>
      </w:r>
      <w:r w:rsidR="001521D3">
        <w:t>pyyd</w:t>
      </w:r>
      <w:r w:rsidRPr="00493CBE">
        <w:t>ä isotoopista todistus tullia varten.</w:t>
      </w:r>
      <w:r w:rsidR="006B00DC">
        <w:br/>
      </w:r>
    </w:p>
    <w:p w:rsidR="00067EAB" w:rsidP="006B00DC" w:rsidRDefault="00C61BA5" w14:paraId="5AB5BA51" w14:textId="71DDF091">
      <w:pPr>
        <w:tabs>
          <w:tab w:val="right" w:pos="10205"/>
        </w:tabs>
        <w:rPr>
          <w:b/>
          <w:bCs/>
          <w:u w:val="single"/>
        </w:rPr>
      </w:pPr>
      <w:r>
        <w:rPr>
          <w:b/>
          <w:bCs/>
          <w:u w:val="single"/>
        </w:rPr>
        <w:t>Tutkimuspäivänä et</w:t>
      </w:r>
      <w:r w:rsidRPr="00493CBE" w:rsidR="00067EAB">
        <w:rPr>
          <w:b/>
          <w:bCs/>
          <w:u w:val="single"/>
        </w:rPr>
        <w:t xml:space="preserve"> </w:t>
      </w:r>
      <w:r w:rsidR="006B00DC">
        <w:rPr>
          <w:b/>
          <w:bCs/>
          <w:u w:val="single"/>
        </w:rPr>
        <w:t>saa olla läheisessä kontaktissa</w:t>
      </w:r>
      <w:r w:rsidR="005776CC">
        <w:rPr>
          <w:b/>
          <w:bCs/>
          <w:u w:val="single"/>
        </w:rPr>
        <w:t xml:space="preserve"> </w:t>
      </w:r>
      <w:r w:rsidRPr="00493CBE" w:rsidR="00067EAB">
        <w:rPr>
          <w:b/>
          <w:bCs/>
          <w:u w:val="single"/>
        </w:rPr>
        <w:t>pienten lasten ja raskaana olevien naisten kanssa.</w:t>
      </w:r>
    </w:p>
    <w:p w:rsidRPr="00E31CBC" w:rsidR="00493CBE" w:rsidP="00E31CBC" w:rsidRDefault="00493CBE" w14:paraId="56F560B3" w14:textId="77777777">
      <w:pPr>
        <w:tabs>
          <w:tab w:val="right" w:pos="10205"/>
        </w:tabs>
        <w:rPr>
          <w:b/>
          <w:color w:val="800080"/>
        </w:rPr>
      </w:pPr>
    </w:p>
    <w:p w:rsidR="006B00DC" w:rsidP="006B00DC" w:rsidRDefault="00E31CBC" w14:paraId="6E0A4685" w14:textId="77777777">
      <w:pPr>
        <w:tabs>
          <w:tab w:val="right" w:pos="10205"/>
        </w:tabs>
        <w:rPr>
          <w:b/>
          <w:color w:val="800080"/>
        </w:rPr>
      </w:pPr>
      <w:r>
        <w:rPr>
          <w:b/>
          <w:color w:val="800080"/>
        </w:rPr>
        <w:t>Naisille</w:t>
      </w:r>
      <w:r w:rsidR="006B00DC">
        <w:rPr>
          <w:b/>
          <w:color w:val="800080"/>
        </w:rPr>
        <w:br/>
      </w:r>
    </w:p>
    <w:p w:rsidR="00C61BA5" w:rsidP="006B00DC" w:rsidRDefault="00182B25" w14:paraId="5285AA90" w14:textId="77777777">
      <w:pPr>
        <w:tabs>
          <w:tab w:val="right" w:pos="10205"/>
        </w:tabs>
      </w:pPr>
      <w:r w:rsidRPr="00493CBE">
        <w:t>Emme yleensä tee tutkimusta, mikäli olet raskaana tai epäilet oleva</w:t>
      </w:r>
      <w:r w:rsidR="001521D3">
        <w:t>si</w:t>
      </w:r>
      <w:r w:rsidRPr="00493CBE">
        <w:t xml:space="preserve"> raskaana.</w:t>
      </w:r>
      <w:r w:rsidR="00C61BA5">
        <w:t xml:space="preserve"> Ilmoita</w:t>
      </w:r>
      <w:r w:rsidRPr="00493CBE">
        <w:t xml:space="preserve"> </w:t>
      </w:r>
      <w:r w:rsidR="00C61BA5">
        <w:t>asiasta hoitavalle lääkärillesi</w:t>
      </w:r>
      <w:r w:rsidRPr="00493CBE">
        <w:t xml:space="preserve">, niin tutkimus siirretään sopivaan ajankohtaan. </w:t>
      </w:r>
    </w:p>
    <w:p w:rsidR="00C61BA5" w:rsidP="006B00DC" w:rsidRDefault="00C61BA5" w14:paraId="64206589" w14:textId="77777777">
      <w:pPr>
        <w:tabs>
          <w:tab w:val="right" w:pos="10205"/>
        </w:tabs>
      </w:pPr>
    </w:p>
    <w:p w:rsidR="006B00DC" w:rsidP="006B00DC" w:rsidRDefault="00182B25" w14:paraId="3FE07D99" w14:textId="6CED3BEA">
      <w:pPr>
        <w:tabs>
          <w:tab w:val="right" w:pos="10205"/>
        </w:tabs>
      </w:pPr>
      <w:r w:rsidRPr="00493CBE">
        <w:t>Radioaktiivinen merkkiaine siirtyy äidinmaitoon. Imetyksessä on pidettävä vuorokauden tauko.</w:t>
      </w:r>
      <w:r w:rsidR="006B00DC">
        <w:br/>
      </w:r>
    </w:p>
    <w:p w:rsidRPr="000D68E0" w:rsidR="00C61BA5" w:rsidP="00C61BA5" w:rsidRDefault="00C61BA5" w14:paraId="47957D2C" w14:textId="77777777">
      <w:pPr>
        <w:jc w:val="both"/>
        <w:rPr>
          <w:b/>
          <w:bCs/>
        </w:rPr>
      </w:pPr>
      <w:r w:rsidRPr="000D68E0">
        <w:rPr>
          <w:b/>
          <w:bCs/>
          <w:color w:val="800080"/>
        </w:rPr>
        <w:t>Yhteystiedot</w:t>
      </w:r>
    </w:p>
    <w:p w:rsidR="00C61BA5" w:rsidP="00C61BA5" w:rsidRDefault="00C61BA5" w14:paraId="4CEFDBDF" w14:textId="77777777">
      <w:pPr>
        <w:tabs>
          <w:tab w:val="right" w:pos="10205"/>
        </w:tabs>
      </w:pPr>
    </w:p>
    <w:p w:rsidRPr="004043FE" w:rsidR="00C61BA5" w:rsidP="00C61BA5" w:rsidRDefault="00C61BA5" w14:paraId="28D2E084" w14:textId="77777777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C61BA5" w:rsidP="00C61BA5" w:rsidRDefault="00C61BA5" w14:paraId="3CFBEE03" w14:textId="77777777"/>
    <w:p w:rsidRPr="004043FE" w:rsidR="00C61BA5" w:rsidP="00C61BA5" w:rsidRDefault="00C61BA5" w14:paraId="27E6BC90" w14:textId="77777777">
      <w:r>
        <w:t xml:space="preserve">Tutkimukseen valmistautumiseen liittyvissä asioissa soittoaikamme on </w:t>
      </w:r>
      <w:proofErr w:type="gramStart"/>
      <w:r>
        <w:t>maanantai-perjantai</w:t>
      </w:r>
      <w:proofErr w:type="gramEnd"/>
      <w:r>
        <w:t xml:space="preserve"> klo 7.30–16 puh. 040 1533 240. Kuvantamisessa on käytössä takaisinsoittojärjestelmä. Soitamme sinulle takaisin samana päivänä tai viimeistään seuraavan työpäivän aikana.</w:t>
      </w:r>
    </w:p>
    <w:p w:rsidRPr="00B24F30" w:rsidR="00182B25" w:rsidP="00B24F30" w:rsidRDefault="00182B25" w14:paraId="2057B277" w14:textId="59DCA120">
      <w:pPr>
        <w:tabs>
          <w:tab w:val="left" w:pos="4245"/>
        </w:tabs>
        <w:rPr>
          <w:sz w:val="22"/>
          <w:szCs w:val="22"/>
        </w:rPr>
      </w:pPr>
    </w:p>
    <w:sectPr w:rsidRPr="00B24F30" w:rsidR="00182B25" w:rsidSect="00F71DFE">
      <w:headerReference w:type="default" r:id="rId10"/>
      <w:footerReference w:type="default" r:id="rId11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BA5A" w14:textId="77777777" w:rsidR="00DA55A0" w:rsidRDefault="00DA55A0">
      <w:r>
        <w:separator/>
      </w:r>
    </w:p>
  </w:endnote>
  <w:endnote w:type="continuationSeparator" w:id="0">
    <w:p w14:paraId="5AB5BA5B" w14:textId="77777777" w:rsidR="00DA55A0" w:rsidRDefault="00DA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2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78"/>
      <w:gridCol w:w="1429"/>
      <w:gridCol w:w="1758"/>
      <w:gridCol w:w="3402"/>
      <w:gridCol w:w="2455"/>
    </w:tblGrid>
    <w:tr w:rsidR="00B54EA9" w:rsidTr="00C61BA5" w14:paraId="5AB5BA86" w14:textId="77777777">
      <w:trPr>
        <w:trHeight w:val="659"/>
      </w:trPr>
      <w:tc>
        <w:tcPr>
          <w:tcW w:w="1178" w:type="dxa"/>
          <w:tcBorders>
            <w:top w:val="single" w:color="808080" w:sz="4" w:space="0"/>
          </w:tcBorders>
        </w:tcPr>
        <w:p w:rsidRPr="00F40848" w:rsidR="00B54EA9" w:rsidP="00E7657E" w:rsidRDefault="00B54EA9" w14:paraId="5AB5BA7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B54EA9" w:rsidP="00E7657E" w:rsidRDefault="00B54EA9" w14:paraId="5AB5BA77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B54EA9" w:rsidP="00E7657E" w:rsidRDefault="00B54EA9" w14:paraId="5AB5BA78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429" w:type="dxa"/>
          <w:tcBorders>
            <w:top w:val="single" w:color="808080" w:sz="4" w:space="0"/>
          </w:tcBorders>
        </w:tcPr>
        <w:p w:rsidR="00B54EA9" w:rsidP="00E7657E" w:rsidRDefault="00B54EA9" w14:paraId="5AB5BA79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C61BA5" w:rsidR="00B54EA9" w:rsidP="00E7657E" w:rsidRDefault="00B54EA9" w14:paraId="5AB5BA7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C61BA5">
            <w:rPr>
              <w:bCs/>
              <w:sz w:val="14"/>
              <w:szCs w:val="14"/>
            </w:rPr>
            <w:t>Sotkamontie</w:t>
          </w:r>
          <w:proofErr w:type="spellEnd"/>
          <w:r w:rsidRPr="00C61BA5">
            <w:rPr>
              <w:bCs/>
              <w:sz w:val="14"/>
              <w:szCs w:val="14"/>
            </w:rPr>
            <w:t xml:space="preserve"> 13</w:t>
          </w:r>
        </w:p>
        <w:p w:rsidRPr="00C61BA5" w:rsidR="00B54EA9" w:rsidP="00E7657E" w:rsidRDefault="00B24F30" w14:paraId="5AB5BA7B" w14:textId="1BCC3C9E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r w:rsidRPr="00C61BA5">
            <w:rPr>
              <w:bCs/>
              <w:sz w:val="14"/>
              <w:szCs w:val="14"/>
            </w:rPr>
            <w:t>87300</w:t>
          </w:r>
          <w:r w:rsidRPr="00C61BA5" w:rsidR="00B54EA9">
            <w:rPr>
              <w:bCs/>
              <w:sz w:val="14"/>
              <w:szCs w:val="14"/>
            </w:rPr>
            <w:t xml:space="preserve"> Kajaani</w:t>
          </w:r>
        </w:p>
        <w:p w:rsidR="00B54EA9" w:rsidP="00284E56" w:rsidRDefault="00B54EA9" w14:paraId="5AB5BA7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758" w:type="dxa"/>
          <w:tcBorders>
            <w:top w:val="single" w:color="808080" w:sz="4" w:space="0"/>
          </w:tcBorders>
        </w:tcPr>
        <w:p w:rsidRPr="00F40848" w:rsidR="00B54EA9" w:rsidP="000C4CDA" w:rsidRDefault="00B54EA9" w14:paraId="5AB5BA7D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B54EA9" w:rsidP="00C61BA5" w:rsidRDefault="00C61BA5" w14:paraId="29710969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C61BA5" w:rsidP="00C61BA5" w:rsidRDefault="00C61BA5" w14:paraId="7D1431B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C61BA5" w:rsidP="00C61BA5" w:rsidRDefault="00C61BA5" w14:paraId="5AB5BA7E" w14:textId="0AC32C78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040 1533 240</w:t>
          </w:r>
        </w:p>
      </w:tc>
      <w:tc>
        <w:tcPr>
          <w:tcW w:w="3402" w:type="dxa"/>
          <w:tcBorders>
            <w:top w:val="single" w:color="808080" w:sz="4" w:space="0"/>
          </w:tcBorders>
        </w:tcPr>
        <w:p w:rsidRPr="00C61BA5" w:rsidR="00B54EA9" w:rsidP="00E7657E" w:rsidRDefault="00B54EA9" w14:paraId="5AB5BA82" w14:textId="52E81B0E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sz w:val="14"/>
              <w:szCs w:val="14"/>
            </w:rPr>
          </w:pPr>
          <w:r w:rsidRPr="00C61BA5">
            <w:rPr>
              <w:b/>
              <w:sz w:val="14"/>
              <w:szCs w:val="14"/>
            </w:rPr>
            <w:t>Internet</w:t>
          </w:r>
        </w:p>
        <w:p w:rsidR="00B54EA9" w:rsidP="00B54EA9" w:rsidRDefault="0001177B" w14:paraId="0F12671A" w14:textId="193CA0D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010DAD" w:rsidR="00B54EA9">
              <w:rPr>
                <w:rStyle w:val="Hyperlinkki"/>
                <w:rFonts w:cs="Arial"/>
                <w:sz w:val="14"/>
                <w:szCs w:val="14"/>
              </w:rPr>
              <w:t>https://sote.kainuu.fi/muut-kuvantamispalvelut</w:t>
            </w:r>
          </w:hyperlink>
        </w:p>
        <w:p w:rsidRPr="00E37B29" w:rsidR="00B54EA9" w:rsidP="00E7657E" w:rsidRDefault="00B54EA9" w14:paraId="5AB5BA83" w14:textId="38AE1E6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2455" w:type="dxa"/>
          <w:tcBorders>
            <w:top w:val="single" w:color="808080" w:sz="4" w:space="0"/>
          </w:tcBorders>
        </w:tcPr>
        <w:p w:rsidR="00B54EA9" w:rsidP="00B54EA9" w:rsidRDefault="00B54EA9" w14:paraId="5AB5BA85" w14:textId="4A9DCF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0" wp14:editId="00BA2A57" wp14:anchorId="231BE8AE">
                <wp:simplePos x="0" y="0"/>
                <wp:positionH relativeFrom="column">
                  <wp:posOffset>295910</wp:posOffset>
                </wp:positionH>
                <wp:positionV relativeFrom="paragraph">
                  <wp:posOffset>-147955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2" name="Kuva 2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DA55A0" w:rsidP="008C2A89" w:rsidRDefault="00DA55A0" w14:paraId="5AB5BA87" w14:textId="7C8DB10F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BA58" w14:textId="77777777" w:rsidR="00DA55A0" w:rsidRDefault="00DA55A0">
      <w:r>
        <w:separator/>
      </w:r>
    </w:p>
  </w:footnote>
  <w:footnote w:type="continuationSeparator" w:id="0">
    <w:p w14:paraId="5AB5BA59" w14:textId="77777777" w:rsidR="00DA55A0" w:rsidRDefault="00DA55A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DA55A0" w14:paraId="5AB5BA66" w14:textId="77777777">
      <w:trPr>
        <w:trHeight w:val="399"/>
      </w:trPr>
      <w:tc>
        <w:tcPr>
          <w:tcW w:w="1101" w:type="dxa"/>
          <w:vMerge w:val="restart"/>
        </w:tcPr>
        <w:p w:rsidR="00DA55A0" w:rsidRDefault="00466F5F" w14:paraId="5AB5BA5D" w14:textId="77777777"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editId="5AB5BA8B" wp14:anchorId="5AB5BA8A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976998" w:rsidR="00DA55A0" w:rsidP="005D2A71" w:rsidRDefault="00DA55A0" w14:paraId="5AB5BA5E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 xml:space="preserve">Kainuun sosiaali- ja </w:t>
          </w:r>
        </w:p>
        <w:p w:rsidR="00DA55A0" w:rsidP="005D2A71" w:rsidRDefault="00DA55A0" w14:paraId="5AB5BA5F" w14:textId="77777777">
          <w:pPr>
            <w:tabs>
              <w:tab w:val="left" w:pos="1418"/>
            </w:tabs>
            <w:ind w:left="151"/>
            <w:rPr>
              <w:b/>
              <w:sz w:val="22"/>
              <w:szCs w:val="22"/>
            </w:rPr>
          </w:pPr>
          <w:r w:rsidRPr="00976998">
            <w:rPr>
              <w:b/>
              <w:sz w:val="22"/>
              <w:szCs w:val="22"/>
            </w:rPr>
            <w:t>terveydenhuollon kuntayhtymä</w:t>
          </w:r>
        </w:p>
        <w:p w:rsidRPr="005776CC" w:rsidR="006B00DC" w:rsidP="005D2A71" w:rsidRDefault="006B00DC" w14:paraId="12C9AD93" w14:textId="5E1493BA">
          <w:pPr>
            <w:tabs>
              <w:tab w:val="left" w:pos="1418"/>
            </w:tabs>
            <w:ind w:left="151"/>
          </w:pPr>
          <w:r w:rsidRPr="005776CC">
            <w:rPr>
              <w:sz w:val="22"/>
              <w:szCs w:val="22"/>
            </w:rPr>
            <w:t>Kuvantaminen</w:t>
          </w:r>
        </w:p>
        <w:p w:rsidR="00DA55A0" w:rsidP="005D2A71" w:rsidRDefault="00976998" w14:paraId="5AB5BA60" w14:textId="77777777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Kliininen fysiologia ja isotooppi</w:t>
          </w:r>
        </w:p>
        <w:p w:rsidR="00DA55A0" w:rsidP="00C61BA5" w:rsidRDefault="006B00DC" w14:paraId="5AB5BA61" w14:textId="30688C4A">
          <w:pPr>
            <w:ind w:firstLine="151"/>
          </w:pPr>
          <w:r>
            <w:rPr>
              <w:sz w:val="22"/>
              <w:szCs w:val="22"/>
            </w:rPr>
            <w:t>Kainuun keskussairaala</w:t>
          </w:r>
        </w:p>
      </w:tc>
      <w:tc>
        <w:tcPr>
          <w:tcW w:w="2547" w:type="dxa"/>
          <w:gridSpan w:val="2"/>
        </w:tcPr>
        <w:p w:rsidRPr="005D2A71" w:rsidR="00DA55A0" w:rsidP="005D2A71" w:rsidRDefault="00DA55A0" w14:paraId="5AB5BA62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DA55A0" w:rsidP="005D2A71" w:rsidRDefault="00DA55A0" w14:paraId="5AB5BA63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DA55A0" w:rsidP="00C31133" w:rsidRDefault="00DA55A0" w14:paraId="5AB5BA64" w14:textId="77777777"/>
      </w:tc>
      <w:tc>
        <w:tcPr>
          <w:tcW w:w="1080" w:type="dxa"/>
        </w:tcPr>
        <w:p w:rsidRPr="005D2A71" w:rsidR="00DA55A0" w:rsidP="005D2A71" w:rsidRDefault="00DA55A0" w14:paraId="5AB5BA65" w14:textId="77777777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D26E59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D26E59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DA55A0" w14:paraId="5AB5BA6D" w14:textId="77777777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5AB5BA67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5AB5BA68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DA55A0" w14:paraId="5AB5BA69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r w:rsidRPr="005D2A71">
            <w:rPr>
              <w:color w:val="000000"/>
              <w:sz w:val="20"/>
              <w:szCs w:val="20"/>
            </w:rPr>
            <w:t>Laadittu</w:t>
          </w:r>
        </w:p>
      </w:tc>
      <w:tc>
        <w:tcPr>
          <w:tcW w:w="1406" w:type="dxa"/>
        </w:tcPr>
        <w:p w:rsidRPr="005D2A71" w:rsidR="00DA55A0" w:rsidP="00067EAB" w:rsidRDefault="0088040C" w14:paraId="5AB5BA6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18.</w:t>
          </w:r>
          <w:r w:rsidR="00682436">
            <w:rPr>
              <w:color w:val="000000"/>
              <w:sz w:val="20"/>
              <w:szCs w:val="20"/>
            </w:rPr>
            <w:t>4.20</w:t>
          </w:r>
          <w:r>
            <w:rPr>
              <w:color w:val="000000"/>
              <w:sz w:val="20"/>
              <w:szCs w:val="20"/>
            </w:rPr>
            <w:t>0</w:t>
          </w:r>
          <w:r w:rsidR="00682436">
            <w:rPr>
              <w:color w:val="000000"/>
              <w:sz w:val="20"/>
              <w:szCs w:val="20"/>
            </w:rPr>
            <w:t>8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DA55A0" w:rsidP="005D2A71" w:rsidRDefault="00DA55A0" w14:paraId="5AB5BA6B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DA55A0" w:rsidP="005D2A71" w:rsidRDefault="00DA55A0" w14:paraId="5AB5BA6C" w14:textId="77777777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DA55A0" w14:paraId="5AB5BA73" w14:textId="77777777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5AB5BA6E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5AB5BA6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DA55A0" w14:paraId="5AB5BA70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 w:rsidRPr="005D2A71">
            <w:rPr>
              <w:color w:val="000000"/>
              <w:sz w:val="20"/>
              <w:szCs w:val="20"/>
            </w:rPr>
            <w:t>Päivitetty</w:t>
          </w:r>
        </w:p>
      </w:tc>
      <w:tc>
        <w:tcPr>
          <w:tcW w:w="1406" w:type="dxa"/>
        </w:tcPr>
        <w:p w:rsidRPr="005D2A71" w:rsidR="0001177B" w:rsidP="0001177B" w:rsidRDefault="0001177B" w14:paraId="5AB5BA71" w14:textId="5C152FB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7.9.2022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DA55A0" w:rsidP="005D2A71" w:rsidRDefault="00DA55A0" w14:paraId="5AB5BA72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DA55A0" w:rsidP="00F71DFE" w:rsidRDefault="00DA55A0" w14:paraId="5AB5BA74" w14:textId="77777777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38"/>
    <w:rsid w:val="00010570"/>
    <w:rsid w:val="0001177B"/>
    <w:rsid w:val="00017251"/>
    <w:rsid w:val="00024455"/>
    <w:rsid w:val="000371CB"/>
    <w:rsid w:val="00067EAB"/>
    <w:rsid w:val="0007282E"/>
    <w:rsid w:val="00080909"/>
    <w:rsid w:val="000B0698"/>
    <w:rsid w:val="000B54EC"/>
    <w:rsid w:val="000C4CDA"/>
    <w:rsid w:val="000D516C"/>
    <w:rsid w:val="000D5F23"/>
    <w:rsid w:val="000E3C9E"/>
    <w:rsid w:val="000F7588"/>
    <w:rsid w:val="00100DB3"/>
    <w:rsid w:val="001121DC"/>
    <w:rsid w:val="00114766"/>
    <w:rsid w:val="00151299"/>
    <w:rsid w:val="001521D3"/>
    <w:rsid w:val="0016555B"/>
    <w:rsid w:val="0017285C"/>
    <w:rsid w:val="00182B25"/>
    <w:rsid w:val="001A332A"/>
    <w:rsid w:val="001A3EB8"/>
    <w:rsid w:val="001C1DA8"/>
    <w:rsid w:val="001C3827"/>
    <w:rsid w:val="001F2460"/>
    <w:rsid w:val="00202FC1"/>
    <w:rsid w:val="00207E9D"/>
    <w:rsid w:val="00251889"/>
    <w:rsid w:val="00252A5E"/>
    <w:rsid w:val="00255DFD"/>
    <w:rsid w:val="00256593"/>
    <w:rsid w:val="00284E56"/>
    <w:rsid w:val="00291906"/>
    <w:rsid w:val="002A7B35"/>
    <w:rsid w:val="002B7AAA"/>
    <w:rsid w:val="00305D82"/>
    <w:rsid w:val="00352A55"/>
    <w:rsid w:val="00360DE4"/>
    <w:rsid w:val="0036328F"/>
    <w:rsid w:val="003644A5"/>
    <w:rsid w:val="003751C2"/>
    <w:rsid w:val="003813E1"/>
    <w:rsid w:val="003B51BD"/>
    <w:rsid w:val="003C4C03"/>
    <w:rsid w:val="003C7181"/>
    <w:rsid w:val="003D0EA5"/>
    <w:rsid w:val="00400F84"/>
    <w:rsid w:val="0041727B"/>
    <w:rsid w:val="00422F07"/>
    <w:rsid w:val="00466F5F"/>
    <w:rsid w:val="00493CBE"/>
    <w:rsid w:val="004B022B"/>
    <w:rsid w:val="004C667B"/>
    <w:rsid w:val="004D524A"/>
    <w:rsid w:val="004E3430"/>
    <w:rsid w:val="005135FA"/>
    <w:rsid w:val="00523E7B"/>
    <w:rsid w:val="00534716"/>
    <w:rsid w:val="005776CC"/>
    <w:rsid w:val="005C5BC4"/>
    <w:rsid w:val="005D2A71"/>
    <w:rsid w:val="006163C8"/>
    <w:rsid w:val="00620C18"/>
    <w:rsid w:val="00630951"/>
    <w:rsid w:val="0063491B"/>
    <w:rsid w:val="006446F9"/>
    <w:rsid w:val="00647936"/>
    <w:rsid w:val="00655974"/>
    <w:rsid w:val="0068119C"/>
    <w:rsid w:val="00682436"/>
    <w:rsid w:val="006B00DC"/>
    <w:rsid w:val="006D65F4"/>
    <w:rsid w:val="006F1B99"/>
    <w:rsid w:val="00700A60"/>
    <w:rsid w:val="00711239"/>
    <w:rsid w:val="00716EEF"/>
    <w:rsid w:val="00720EBB"/>
    <w:rsid w:val="00763A72"/>
    <w:rsid w:val="00791CDF"/>
    <w:rsid w:val="007A1FE2"/>
    <w:rsid w:val="007A5853"/>
    <w:rsid w:val="007B317A"/>
    <w:rsid w:val="007C0D83"/>
    <w:rsid w:val="007D28B3"/>
    <w:rsid w:val="00833D12"/>
    <w:rsid w:val="00840DD9"/>
    <w:rsid w:val="0087018E"/>
    <w:rsid w:val="00877CDC"/>
    <w:rsid w:val="0088040C"/>
    <w:rsid w:val="008A00CC"/>
    <w:rsid w:val="008A11B3"/>
    <w:rsid w:val="008C0156"/>
    <w:rsid w:val="008C2A89"/>
    <w:rsid w:val="008F03AB"/>
    <w:rsid w:val="00924E31"/>
    <w:rsid w:val="009468C5"/>
    <w:rsid w:val="00962B70"/>
    <w:rsid w:val="00967C1A"/>
    <w:rsid w:val="00976998"/>
    <w:rsid w:val="00985305"/>
    <w:rsid w:val="00991660"/>
    <w:rsid w:val="009A07A3"/>
    <w:rsid w:val="009D1254"/>
    <w:rsid w:val="00A145A6"/>
    <w:rsid w:val="00A213A3"/>
    <w:rsid w:val="00A66A00"/>
    <w:rsid w:val="00AB2B55"/>
    <w:rsid w:val="00AB6085"/>
    <w:rsid w:val="00AF1ECE"/>
    <w:rsid w:val="00B06861"/>
    <w:rsid w:val="00B24F30"/>
    <w:rsid w:val="00B33126"/>
    <w:rsid w:val="00B4710E"/>
    <w:rsid w:val="00B478DF"/>
    <w:rsid w:val="00B5438D"/>
    <w:rsid w:val="00B54EA9"/>
    <w:rsid w:val="00B57C31"/>
    <w:rsid w:val="00B802E5"/>
    <w:rsid w:val="00BA3AD7"/>
    <w:rsid w:val="00BE65C1"/>
    <w:rsid w:val="00C13338"/>
    <w:rsid w:val="00C31133"/>
    <w:rsid w:val="00C35177"/>
    <w:rsid w:val="00C4526C"/>
    <w:rsid w:val="00C45E9E"/>
    <w:rsid w:val="00C50BB0"/>
    <w:rsid w:val="00C61BA5"/>
    <w:rsid w:val="00CA6867"/>
    <w:rsid w:val="00CD1E8A"/>
    <w:rsid w:val="00CE1800"/>
    <w:rsid w:val="00CF3CDB"/>
    <w:rsid w:val="00D03C68"/>
    <w:rsid w:val="00D206DA"/>
    <w:rsid w:val="00D216AB"/>
    <w:rsid w:val="00D234FC"/>
    <w:rsid w:val="00D26C7D"/>
    <w:rsid w:val="00D26E59"/>
    <w:rsid w:val="00D308C6"/>
    <w:rsid w:val="00D445D9"/>
    <w:rsid w:val="00D503EE"/>
    <w:rsid w:val="00D51B4C"/>
    <w:rsid w:val="00D878F7"/>
    <w:rsid w:val="00D948DF"/>
    <w:rsid w:val="00D95BFC"/>
    <w:rsid w:val="00DA55A0"/>
    <w:rsid w:val="00DC703B"/>
    <w:rsid w:val="00DC77E4"/>
    <w:rsid w:val="00DD0182"/>
    <w:rsid w:val="00DF1236"/>
    <w:rsid w:val="00DF5160"/>
    <w:rsid w:val="00E16FD4"/>
    <w:rsid w:val="00E31CBC"/>
    <w:rsid w:val="00E36DDF"/>
    <w:rsid w:val="00E37B29"/>
    <w:rsid w:val="00E405BE"/>
    <w:rsid w:val="00E43F01"/>
    <w:rsid w:val="00E5309F"/>
    <w:rsid w:val="00E545C1"/>
    <w:rsid w:val="00E7657E"/>
    <w:rsid w:val="00EA7B16"/>
    <w:rsid w:val="00F063D8"/>
    <w:rsid w:val="00F40848"/>
    <w:rsid w:val="00F71DFE"/>
    <w:rsid w:val="00F81735"/>
    <w:rsid w:val="00F836CA"/>
    <w:rsid w:val="00FA7C57"/>
    <w:rsid w:val="00FD7468"/>
    <w:rsid w:val="00FE1C1F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;"/>
  <w14:docId w14:val="5AB5BA37"/>
  <w15:docId w15:val="{220CC488-559F-4611-91B8-F26AF041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A7B35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  <w:style w:type="paragraph" w:customStyle="1" w:styleId="Default">
    <w:name w:val="Default"/>
    <w:rsid w:val="00493C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CE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muut-kuvantamispalvel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16947</HB_DocCode>
    <HB_MetaData xmlns="5f7715f8-5986-4f6c-a91e-03260bf63212">18742</HB_MetaData>
    <HB_DocTitle xmlns="5f7715f8-5986-4f6c-a91e-03260bf63212">Lisakilpirauhasen_gammakuvaus_asiakasohje.docx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TaxCatchAll xmlns="25ea4492-15d4-4b3d-b62a-d631fc6d931e">
      <Value>23</Value>
    </TaxCatchAll>
  </documentManagement>
</p:properties>
</file>

<file path=customXml/itemProps1.xml><?xml version="1.0" encoding="utf-8"?>
<ds:datastoreItem xmlns:ds="http://schemas.openxmlformats.org/officeDocument/2006/customXml" ds:itemID="{017358D7-731C-498D-BFE6-2BB4B6F4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6F6B-9971-421D-A051-A9A00BBDA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452C2-B4A4-4304-9666-6643F1AF29A5}">
  <ds:schemaRefs>
    <ds:schemaRef ds:uri="22a57265-771e-4444-a5f9-1f55fe03300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5ea4492-15d4-4b3d-b62a-d631fc6d931e"/>
    <ds:schemaRef ds:uri="http://purl.org/dc/dcmitype/"/>
    <ds:schemaRef ds:uri="5f7715f8-5986-4f6c-a91e-03260bf6321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Lisakilpirauhasen_gammakuvaus.docx</vt:lpstr>
    </vt:vector>
  </TitlesOfParts>
  <Manager>esa.ahonen@kainuu.fi</Manager>
  <Company>Kainuun sote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Lisakilpirauhasen_gammakuvaus_asiakasohje.docx</dc:title>
  <dc:subject>Isotooppi lisäkilpirauhanen adenooma gammakuvaus</dc:subject>
  <dc:creator>sami.paakkonen@kainuu.fi;reija.eerola@kainuu.fi</dc:creator>
  <cp:keywords>Kliininen fysiologia ja isotooppi</cp:keywords>
  <dc:description>isotooppi</dc:description>
  <cp:lastModifiedBy>Alatalo Jesse</cp:lastModifiedBy>
  <cp:revision>3</cp:revision>
  <cp:lastPrinted>2020-09-15T11:05:00Z</cp:lastPrinted>
  <dcterms:created xsi:type="dcterms:W3CDTF">2022-07-01T07:55:00Z</dcterms:created>
  <dcterms:modified xsi:type="dcterms:W3CDTF">2022-09-07T06:45:00Z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URL">
    <vt:lpwstr/>
  </property>
  <property fmtid="{D5CDD505-2E9C-101B-9397-08002B2CF9AE}" pid="32" name="Publish_To_ExtSite">
    <vt:lpwstr>23;#Kliininen fysiologia ja isotooppi|2910143a-e493-4ecd-9fdd-f386074de141</vt:lpwstr>
  </property>
</Properties>
</file>