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653729E6" w:rsidR="00E57692" w:rsidRPr="00E57692" w:rsidRDefault="003E105F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Lapsen magneettitutkimus tehosteaineella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0881DC9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="006C0A0C">
        <w:rPr>
          <w:rFonts w:eastAsia="Times New Roman" w:cs="Arial"/>
          <w:szCs w:val="24"/>
          <w:lang w:eastAsia="fi-FI"/>
        </w:rPr>
        <w:t xml:space="preserve"> </w:t>
      </w:r>
    </w:p>
    <w:p w14:paraId="1C7A6C2B" w14:textId="1B049D64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1237B7CC" w14:textId="6F1BAA5C" w:rsid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3637E97" w14:textId="77777777" w:rsidR="00E7620A" w:rsidRPr="006C0A0C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DDCE8D2" w14:textId="6B6FD26B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ensin lasten ja nuorten poliklinikalle/osastolle klo_______. Magneettitutkimus vaatii suonikanyylin laiton (kyynärtaive tai kämmenselkä) tutkimuksessa käytettävää tehosteainetta varten.</w:t>
      </w:r>
    </w:p>
    <w:p w14:paraId="6EDC8200" w14:textId="77777777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2DE1BCFE" w14:textId="6F27A985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Tutkimus tehdään Kainuun keskussairaalan kuvantamisen yksikössä.</w:t>
      </w:r>
      <w:r w:rsidR="009739F1">
        <w:rPr>
          <w:rFonts w:eastAsia="Times New Roman" w:cs="Arial"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Ilmoittaudu kuvantamisen tiloissa olevalla ilmoittautumisautomaatilla lapsen</w:t>
      </w:r>
      <w:r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 </w:t>
      </w:r>
    </w:p>
    <w:p w14:paraId="0A235E02" w14:textId="77777777" w:rsidR="006C0A0C" w:rsidRPr="00E57692" w:rsidRDefault="006C0A0C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722F9B24" w14:textId="77777777" w:rsidR="009739F1" w:rsidRDefault="009739F1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outlineLvl w:val="0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A28B552" w14:textId="6631D0EC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Lapsen on oltava </w:t>
      </w:r>
      <w:r w:rsidRPr="00E7620A">
        <w:rPr>
          <w:rFonts w:eastAsia="Times New Roman" w:cs="Arial"/>
          <w:b/>
          <w:szCs w:val="24"/>
          <w:lang w:eastAsia="fi-FI"/>
        </w:rPr>
        <w:t>syömättä ja juomatta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b/>
          <w:szCs w:val="24"/>
          <w:lang w:eastAsia="fi-FI"/>
        </w:rPr>
        <w:t>2 tuntia</w:t>
      </w:r>
      <w:r w:rsidRPr="00E7620A">
        <w:rPr>
          <w:rFonts w:eastAsia="Times New Roman" w:cs="Arial"/>
          <w:szCs w:val="24"/>
          <w:lang w:eastAsia="fi-FI"/>
        </w:rPr>
        <w:t xml:space="preserve"> ennen tutkimusta. </w:t>
      </w:r>
      <w:r w:rsidRPr="00E7620A">
        <w:rPr>
          <w:rFonts w:eastAsia="Times New Roman" w:cs="Arial"/>
          <w:b/>
          <w:szCs w:val="24"/>
          <w:lang w:eastAsia="fi-FI"/>
        </w:rPr>
        <w:t>Ylävatsan</w:t>
      </w:r>
      <w:r w:rsidRPr="00E7620A">
        <w:rPr>
          <w:rFonts w:eastAsia="Times New Roman" w:cs="Arial"/>
          <w:szCs w:val="24"/>
          <w:lang w:eastAsia="fi-FI"/>
        </w:rPr>
        <w:t xml:space="preserve"> tutkimuksessa </w:t>
      </w:r>
      <w:r w:rsidRPr="00E7620A">
        <w:rPr>
          <w:rFonts w:eastAsia="Times New Roman" w:cs="Arial"/>
          <w:b/>
          <w:szCs w:val="24"/>
          <w:lang w:eastAsia="fi-FI"/>
        </w:rPr>
        <w:t>4 tuntia</w:t>
      </w:r>
      <w:r w:rsidRPr="00E7620A">
        <w:rPr>
          <w:rFonts w:eastAsia="Times New Roman" w:cs="Arial"/>
          <w:szCs w:val="24"/>
          <w:lang w:eastAsia="fi-FI"/>
        </w:rPr>
        <w:t xml:space="preserve">. Mikäli tutkimus on etukäteen sovittu tehtäväksi </w:t>
      </w:r>
      <w:r w:rsidRPr="00E7620A">
        <w:rPr>
          <w:rFonts w:eastAsia="Times New Roman" w:cs="Arial"/>
          <w:b/>
          <w:szCs w:val="24"/>
          <w:lang w:eastAsia="fi-FI"/>
        </w:rPr>
        <w:t>esilääkittynä tai nukutuksessa on lapsen oltava syömättä ja juomatta 6 tuntia.</w:t>
      </w:r>
      <w:r w:rsidRPr="00E7620A">
        <w:rPr>
          <w:rFonts w:eastAsia="Times New Roman" w:cs="Arial"/>
          <w:szCs w:val="24"/>
          <w:lang w:eastAsia="fi-FI"/>
        </w:rPr>
        <w:t xml:space="preserve"> Päivittäiset lääkärin määräämät lääkkeet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lapsi saa ottaa pienen nestemäärän kanssa, mikäli toisin ei ole ohj</w:t>
      </w:r>
      <w:r w:rsidR="003E105F">
        <w:rPr>
          <w:rFonts w:eastAsia="Times New Roman" w:cs="Arial"/>
          <w:szCs w:val="24"/>
          <w:lang w:eastAsia="fi-FI"/>
        </w:rPr>
        <w:t>eistettu</w:t>
      </w:r>
      <w:r w:rsidRPr="00E7620A">
        <w:rPr>
          <w:rFonts w:eastAsia="Times New Roman" w:cs="Arial"/>
          <w:szCs w:val="24"/>
          <w:lang w:eastAsia="fi-FI"/>
        </w:rPr>
        <w:t>.</w:t>
      </w:r>
      <w:r w:rsidR="009739F1">
        <w:rPr>
          <w:rFonts w:eastAsia="Times New Roman" w:cs="Arial"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Mikäli lapsella on nuhaa, yskää tai kuumetta</w:t>
      </w:r>
      <w:r w:rsidR="003E105F">
        <w:rPr>
          <w:rFonts w:eastAsia="Times New Roman" w:cs="Arial"/>
          <w:szCs w:val="24"/>
          <w:lang w:eastAsia="fi-FI"/>
        </w:rPr>
        <w:t>,</w:t>
      </w:r>
      <w:r w:rsidRPr="00E7620A">
        <w:rPr>
          <w:rFonts w:eastAsia="Times New Roman" w:cs="Arial"/>
          <w:szCs w:val="24"/>
          <w:lang w:eastAsia="fi-FI"/>
        </w:rPr>
        <w:t xml:space="preserve"> ottakaa yhteyttä lähettävään yksikköön.</w:t>
      </w:r>
    </w:p>
    <w:p w14:paraId="16C0E0F6" w14:textId="77777777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0082EC80" w14:textId="40138348" w:rsidR="00E7620A" w:rsidRPr="00E7620A" w:rsidRDefault="009739F1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Ennen tutkimusta </w:t>
      </w:r>
      <w:r w:rsidR="003E105F">
        <w:rPr>
          <w:rFonts w:eastAsia="Times New Roman" w:cs="Arial"/>
          <w:szCs w:val="24"/>
          <w:lang w:eastAsia="fi-FI"/>
        </w:rPr>
        <w:t>lapsen</w:t>
      </w:r>
      <w:r>
        <w:rPr>
          <w:rFonts w:eastAsia="Times New Roman" w:cs="Arial"/>
          <w:szCs w:val="24"/>
          <w:lang w:eastAsia="fi-FI"/>
        </w:rPr>
        <w:t xml:space="preserve">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 xml:space="preserve">. </w:t>
      </w:r>
      <w:r w:rsidR="00E7620A" w:rsidRPr="00E7620A">
        <w:rPr>
          <w:rFonts w:eastAsia="Times New Roman" w:cs="Arial"/>
          <w:szCs w:val="24"/>
          <w:lang w:eastAsia="fi-FI"/>
        </w:rPr>
        <w:t>Metalli</w:t>
      </w:r>
      <w:bookmarkStart w:id="5" w:name="_GoBack"/>
      <w:bookmarkEnd w:id="5"/>
      <w:r w:rsidR="00E7620A" w:rsidRPr="00E7620A">
        <w:rPr>
          <w:rFonts w:eastAsia="Times New Roman" w:cs="Arial"/>
          <w:szCs w:val="24"/>
          <w:lang w:eastAsia="fi-FI"/>
        </w:rPr>
        <w:t>nepparillisia ja vetoketjullisia vaatteita ei saa olla päällä.</w:t>
      </w:r>
    </w:p>
    <w:p w14:paraId="39B7A7A4" w14:textId="77777777" w:rsidR="00E7620A" w:rsidRPr="00E7620A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46845204" w14:textId="012ADFFD" w:rsidR="006C0A0C" w:rsidRPr="00E57692" w:rsidRDefault="00E7620A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Tutkimus kestää 30 - 45 minuuttia.</w:t>
      </w:r>
    </w:p>
    <w:p w14:paraId="3ACCD977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3C5195C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B6AAC7E" w14:textId="77777777" w:rsidR="00E57692" w:rsidRPr="00E57692" w:rsidRDefault="00E57692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79F942F7" w14:textId="077DD396" w:rsidR="009739F1" w:rsidRPr="00E57692" w:rsidRDefault="009739F1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</w:t>
      </w:r>
      <w:r>
        <w:rPr>
          <w:rFonts w:eastAsia="Times New Roman" w:cs="Arial"/>
          <w:szCs w:val="24"/>
          <w:lang w:eastAsia="fi-FI"/>
        </w:rPr>
        <w:t xml:space="preserve"> 15 vuotta täyttäneeltä potilaalta</w:t>
      </w:r>
      <w:r w:rsidRPr="00E57692">
        <w:rPr>
          <w:rFonts w:eastAsia="Times New Roman" w:cs="Arial"/>
          <w:szCs w:val="24"/>
          <w:lang w:eastAsia="fi-FI"/>
        </w:rPr>
        <w:t>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6A8AED26" w14:textId="77777777" w:rsidR="009739F1" w:rsidRPr="00E57692" w:rsidRDefault="009739F1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6EB8A88A" w14:textId="253F1064" w:rsidR="009739F1" w:rsidRDefault="009739F1" w:rsidP="003E105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7F648D83" w14:textId="77777777" w:rsidR="009739F1" w:rsidRDefault="009739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4F95DBD7" w14:textId="77777777" w:rsidR="009739F1" w:rsidRDefault="009739F1" w:rsidP="009739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431FADAF" w14:textId="77777777" w:rsidR="009739F1" w:rsidRDefault="009739F1" w:rsidP="009739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156DF9A" w14:textId="77777777" w:rsidR="009739F1" w:rsidRDefault="009739F1" w:rsidP="009739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6CCCE64B" w14:textId="77777777" w:rsidR="009739F1" w:rsidRDefault="009739F1" w:rsidP="009739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9739F1" w14:paraId="263FDAE2" w14:textId="77777777" w:rsidTr="00F20E77">
        <w:trPr>
          <w:trHeight w:val="418"/>
        </w:trPr>
        <w:tc>
          <w:tcPr>
            <w:tcW w:w="10195" w:type="dxa"/>
            <w:gridSpan w:val="3"/>
          </w:tcPr>
          <w:p w14:paraId="0BABB2CD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54F71725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9739F1" w14:paraId="76549F72" w14:textId="77777777" w:rsidTr="00F20E77">
        <w:tc>
          <w:tcPr>
            <w:tcW w:w="4957" w:type="dxa"/>
          </w:tcPr>
          <w:p w14:paraId="7ABCCDEA" w14:textId="77777777" w:rsidR="009739F1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38348497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51CF74FD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1EC7E97A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9739F1" w14:paraId="6438A46A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2775C61C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6C3DF703" w14:textId="77777777" w:rsidR="009739F1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9739F1" w14:paraId="4BCFCD51" w14:textId="77777777" w:rsidTr="00F20E77">
              <w:tc>
                <w:tcPr>
                  <w:tcW w:w="6821" w:type="dxa"/>
                </w:tcPr>
                <w:p w14:paraId="203A1BF0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704E84C0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F47AD4B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48ECAF51" w14:textId="77777777" w:rsidTr="00F20E77">
              <w:tc>
                <w:tcPr>
                  <w:tcW w:w="6821" w:type="dxa"/>
                </w:tcPr>
                <w:p w14:paraId="7E0489AB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0F225EE2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49EBE06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500F12F9" w14:textId="77777777" w:rsidTr="00F20E77">
              <w:tc>
                <w:tcPr>
                  <w:tcW w:w="6821" w:type="dxa"/>
                </w:tcPr>
                <w:p w14:paraId="3B0E86AD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375162EE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84D1442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2ED64892" w14:textId="77777777" w:rsidTr="00F20E77">
              <w:tc>
                <w:tcPr>
                  <w:tcW w:w="6821" w:type="dxa"/>
                </w:tcPr>
                <w:p w14:paraId="6D57C2FB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5ADFFFEF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E6A4B44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3D925662" w14:textId="77777777" w:rsidTr="00F20E77">
              <w:tc>
                <w:tcPr>
                  <w:tcW w:w="6821" w:type="dxa"/>
                </w:tcPr>
                <w:p w14:paraId="6DAACCD9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4C81896E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08230AE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5A77A178" w14:textId="77777777" w:rsidTr="00F20E77">
              <w:tc>
                <w:tcPr>
                  <w:tcW w:w="6821" w:type="dxa"/>
                </w:tcPr>
                <w:p w14:paraId="3208B8E8" w14:textId="2F8C6186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D8609B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13AA64D1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AEA52D0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19D35D99" w14:textId="77777777" w:rsidTr="00F20E77">
              <w:tc>
                <w:tcPr>
                  <w:tcW w:w="6821" w:type="dxa"/>
                </w:tcPr>
                <w:p w14:paraId="3A7A635E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0442E0C6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4B5B452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27BFDA36" w14:textId="77777777" w:rsidTr="00F20E77">
              <w:tc>
                <w:tcPr>
                  <w:tcW w:w="6821" w:type="dxa"/>
                </w:tcPr>
                <w:p w14:paraId="5CBA65B6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75DCDA9E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4BBE7FE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6F892B76" w14:textId="77777777" w:rsidTr="00F20E77">
              <w:tc>
                <w:tcPr>
                  <w:tcW w:w="6821" w:type="dxa"/>
                </w:tcPr>
                <w:p w14:paraId="0623026B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08206A36" w14:textId="77777777" w:rsidR="009739F1" w:rsidRPr="005F55EC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E975AF4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38D201A5" w14:textId="77777777" w:rsidTr="00F20E77">
              <w:tc>
                <w:tcPr>
                  <w:tcW w:w="6821" w:type="dxa"/>
                </w:tcPr>
                <w:p w14:paraId="7C55527D" w14:textId="5E65B5FC" w:rsidR="009739F1" w:rsidRPr="00FA082B" w:rsidRDefault="00D8609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9739F1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704A72BA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3204A5F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6026A7F2" w14:textId="77777777" w:rsidTr="00F20E77">
              <w:tc>
                <w:tcPr>
                  <w:tcW w:w="6821" w:type="dxa"/>
                </w:tcPr>
                <w:p w14:paraId="6B95D667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6E4F27D9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DB8A88A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43B68E57" w14:textId="77777777" w:rsidTr="00F20E77">
              <w:tc>
                <w:tcPr>
                  <w:tcW w:w="6821" w:type="dxa"/>
                </w:tcPr>
                <w:p w14:paraId="4605EBD2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6C34A942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B4E3E3D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9739F1" w14:paraId="6532A5D5" w14:textId="77777777" w:rsidTr="00F20E77">
              <w:tc>
                <w:tcPr>
                  <w:tcW w:w="6821" w:type="dxa"/>
                </w:tcPr>
                <w:p w14:paraId="4D7F73D3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2D8B45C9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53010B95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6A262B9E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55643A1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1158191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11838CC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947A88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D190DC9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6310BB59" w14:textId="77777777" w:rsidR="009739F1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9739F1" w14:paraId="56942094" w14:textId="77777777" w:rsidTr="00F20E77">
              <w:tc>
                <w:tcPr>
                  <w:tcW w:w="6679" w:type="dxa"/>
                </w:tcPr>
                <w:p w14:paraId="13F03B1F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0218DC6C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0ECCCBA4" w14:textId="77777777" w:rsidR="009739F1" w:rsidRPr="00FA082B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61AD131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47C25942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05E71524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0D22C99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0A9C7296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2EE497F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2A6D6C5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589F69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8C5F372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D19282B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926C599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F775F78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1962CBF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293F9765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79FC8D9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7E8E76E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D031C15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B594983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B661869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6C3243F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7527640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18F6EA2" w14:textId="77777777" w:rsidR="009739F1" w:rsidRDefault="009739F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0BB2C4E8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9739F1" w14:paraId="3A13EF00" w14:textId="77777777" w:rsidTr="00F20E77">
        <w:tc>
          <w:tcPr>
            <w:tcW w:w="10195" w:type="dxa"/>
            <w:gridSpan w:val="3"/>
          </w:tcPr>
          <w:p w14:paraId="6C084FD2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15EB18E9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77277297" w14:textId="77777777" w:rsidR="009739F1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3F6403CA" w14:textId="77777777" w:rsidR="009739F1" w:rsidRPr="00FA082B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7AF23CD0" w14:textId="77777777" w:rsidR="009739F1" w:rsidRPr="00C658F7" w:rsidRDefault="009739F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1958491A" w14:textId="7DE46DDA" w:rsidR="00AF3947" w:rsidRPr="00E57692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</w:pPr>
    </w:p>
    <w:sectPr w:rsidR="00AF3947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12E3621F" w:rsidR="008709CB" w:rsidRPr="001E52B9" w:rsidRDefault="009739F1" w:rsidP="009739F1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3837EF24" wp14:editId="54DE148A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5B9A7F77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7E255E">
            <w:rPr>
              <w:color w:val="auto"/>
            </w:rPr>
            <w:t>1</w:t>
          </w:r>
          <w:r w:rsidR="009739F1">
            <w:rPr>
              <w:color w:val="auto"/>
            </w:rPr>
            <w:t>9</w:t>
          </w:r>
          <w:r w:rsidR="008877F1">
            <w:rPr>
              <w:color w:val="auto"/>
            </w:rPr>
            <w:t>.</w:t>
          </w:r>
          <w:r w:rsidR="009739F1">
            <w:rPr>
              <w:color w:val="auto"/>
            </w:rPr>
            <w:t>5</w:t>
          </w:r>
          <w:r w:rsidR="008877F1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66F3"/>
    <w:rsid w:val="00092383"/>
    <w:rsid w:val="000E76CD"/>
    <w:rsid w:val="000F480A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3E105F"/>
    <w:rsid w:val="0046752A"/>
    <w:rsid w:val="004D24C9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55E"/>
    <w:rsid w:val="007E2CD2"/>
    <w:rsid w:val="00802C98"/>
    <w:rsid w:val="00834511"/>
    <w:rsid w:val="008709CB"/>
    <w:rsid w:val="008877F1"/>
    <w:rsid w:val="008A63CD"/>
    <w:rsid w:val="008C4204"/>
    <w:rsid w:val="008C54A9"/>
    <w:rsid w:val="008C78C7"/>
    <w:rsid w:val="00913285"/>
    <w:rsid w:val="00920B85"/>
    <w:rsid w:val="00962244"/>
    <w:rsid w:val="009739F1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74D3"/>
    <w:rsid w:val="00BD014D"/>
    <w:rsid w:val="00C11735"/>
    <w:rsid w:val="00C27BBC"/>
    <w:rsid w:val="00C32733"/>
    <w:rsid w:val="00C3767A"/>
    <w:rsid w:val="00C62373"/>
    <w:rsid w:val="00C81EC9"/>
    <w:rsid w:val="00C95126"/>
    <w:rsid w:val="00CC21AC"/>
    <w:rsid w:val="00CC389F"/>
    <w:rsid w:val="00CD1D3B"/>
    <w:rsid w:val="00D20358"/>
    <w:rsid w:val="00D509C4"/>
    <w:rsid w:val="00D8609B"/>
    <w:rsid w:val="00D92652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15327</HB_DocCode>
    <HB_DocTitle xmlns="57774dac-5171-47f4-8925-8bec5173786e">Magneettitutkimus_lapsi_tehosteaineella.docx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2018-07-16T21:00:00+00:00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2025-05-28T09:47:44+00:00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5189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2024-01-09T10:59:26+00:00</MassRunTimestamp>
    <HB_MajorVersionNumber xmlns="bb6d859f-7529-4784-9e62-bbc119a138f2">6</HB_MajorVersionNumber>
    <MassEditTimestamp xmlns="bb6d859f-7529-4784-9e62-bbc119a138f2">2024-01-09T10:59:26+00:00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D25C-2B57-4553-89CB-4EC4DD14778C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www.w3.org/XML/1998/namespace"/>
    <ds:schemaRef ds:uri="http://purl.org/dc/terms/"/>
    <ds:schemaRef ds:uri="57774dac-5171-47f4-8925-8bec5173786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7075b817-c215-4363-a115-bd0ab826d931"/>
    <ds:schemaRef ds:uri="http://schemas.microsoft.com/office/infopath/2007/PartnerControls"/>
    <ds:schemaRef ds:uri="bb6d859f-7529-4784-9e62-bbc119a138f2"/>
  </ds:schemaRefs>
</ds:datastoreItem>
</file>

<file path=customXml/itemProps4.xml><?xml version="1.0" encoding="utf-8"?>
<ds:datastoreItem xmlns:ds="http://schemas.openxmlformats.org/officeDocument/2006/customXml" ds:itemID="{A274AE7D-8FD1-4EFA-B4B3-AA851685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Magneettitutkimus_lapsi_tehosteaineella.docx</vt:lpstr>
    </vt:vector>
  </TitlesOfParts>
  <Manager>virpi.i.korhonen@kainuu.fi</Manager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Magneettitutkimus_lapsi_tehosteaineella.docx</dc:title>
  <dc:subject/>
  <dc:creator>juha.vornanen@kainuu.fi</dc:creator>
  <cp:keywords/>
  <dc:description/>
  <cp:lastModifiedBy>Lyttinen Minna</cp:lastModifiedBy>
  <cp:revision>5</cp:revision>
  <cp:lastPrinted>2023-03-03T07:32:00Z</cp:lastPrinted>
  <dcterms:created xsi:type="dcterms:W3CDTF">2025-05-19T06:22:00Z</dcterms:created>
  <dcterms:modified xsi:type="dcterms:W3CDTF">2025-05-19T10:45:00Z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mr-kuvausmrimagneettikuvaus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