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42C6" w:rsidR="001242C6" w:rsidP="001242C6" w:rsidRDefault="001242C6" w14:paraId="5F4C9D4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1242C6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Tulehduspesäkkeen gammakuvaus</w:t>
      </w:r>
    </w:p>
    <w:p w:rsidRPr="001242C6" w:rsidR="001242C6" w:rsidP="001242C6" w:rsidRDefault="001242C6" w14:paraId="193B481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242C6" w:rsidR="001242C6" w:rsidP="001242C6" w:rsidRDefault="001242C6" w14:paraId="1249B89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:rsidRPr="001242C6" w:rsidR="001242C6" w:rsidP="001242C6" w:rsidRDefault="001242C6" w14:paraId="313BDDC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242C6" w:rsidR="001242C6" w:rsidP="001242C6" w:rsidRDefault="001242C6" w14:paraId="60B7584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1242C6">
        <w:rPr>
          <w:rFonts w:eastAsia="Times New Roman" w:cs="Arial"/>
          <w:szCs w:val="24"/>
          <w:lang w:eastAsia="fi-FI"/>
        </w:rPr>
        <w:br/>
      </w:r>
    </w:p>
    <w:p w:rsidRPr="001242C6" w:rsidR="001242C6" w:rsidP="001242C6" w:rsidRDefault="001242C6" w14:paraId="74C399B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Korut ja arvoesineet pyydämme jättämään kotiin.</w:t>
      </w:r>
    </w:p>
    <w:p w:rsidRPr="001242C6" w:rsidR="001242C6" w:rsidP="001242C6" w:rsidRDefault="001242C6" w14:paraId="0EEC616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42C6" w:rsidR="001242C6" w:rsidP="001242C6" w:rsidRDefault="001242C6" w14:paraId="1D61DCE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242C6" w:rsidR="001242C6" w:rsidP="001242C6" w:rsidRDefault="001242C6" w14:paraId="4E634E2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Tutkimuksen tarkoituksena on osoittaa tulehduspesäkkeen sijainti. Tutkimustuloksesta lähetetään lausunto hoitavalle lääkärillesi.</w:t>
      </w:r>
    </w:p>
    <w:p w:rsidRPr="001242C6" w:rsidR="001242C6" w:rsidP="001242C6" w:rsidRDefault="001242C6" w14:paraId="52B9DA4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:rsidRPr="001242C6" w:rsidR="001242C6" w:rsidP="001242C6" w:rsidRDefault="001242C6" w14:paraId="3EF8954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242C6" w:rsidR="001242C6" w:rsidP="001242C6" w:rsidRDefault="001242C6" w14:paraId="6183FF2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Ei esivalmisteluja, tutkimuspäivän aamuna voit syödä, juoda ja ottaa lääkkeet tavalliseen tapaan.</w:t>
      </w:r>
      <w:bookmarkStart w:name="_GoBack" w:id="0"/>
      <w:bookmarkEnd w:id="0"/>
    </w:p>
    <w:p w:rsidRPr="001242C6" w:rsidR="001242C6" w:rsidP="001242C6" w:rsidRDefault="001242C6" w14:paraId="1FDFD7F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42C6" w:rsidR="001242C6" w:rsidP="001242C6" w:rsidRDefault="001242C6" w14:paraId="696C773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242C6" w:rsidR="001242C6" w:rsidP="001242C6" w:rsidRDefault="001242C6" w14:paraId="012769E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Sinulta otetaan n. 40 ml laskimoverinäyte, josta erotetaan valkosolut. Erottaminen kestää n. 2 tuntia. Valkosolut leimataan radioaktiivisella tutkimusaineella ja ruiskutetaan takaisin verenkiertoosi. Valkosolut hakeutuvat alueelle, jossa on tulehdusta.</w:t>
      </w:r>
    </w:p>
    <w:p w:rsidRPr="001242C6" w:rsidR="001242C6" w:rsidP="001242C6" w:rsidRDefault="001242C6" w14:paraId="6017923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42C6" w:rsidR="001242C6" w:rsidP="001242C6" w:rsidRDefault="001242C6" w14:paraId="0351687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Kuvaukset suoritetaan tavallisesti ½, 3-4 ja 24 tuntia leimattujen valkosolujen antamisen jälkeen. Kuvaukset kestävät 0,5-1,5 tuntia/kerta. Ensimmäisenä tutkimuspäivänä aikaa tulee varata noin 6 tuntia. Toisena päivänä aikaa menee noin tunti.</w:t>
      </w:r>
    </w:p>
    <w:p w:rsidRPr="001242C6" w:rsidR="001242C6" w:rsidP="001242C6" w:rsidRDefault="001242C6" w14:paraId="6521F87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42C6" w:rsidR="001242C6" w:rsidP="001242C6" w:rsidRDefault="001242C6" w14:paraId="6345FFD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 xml:space="preserve">Tutkimusaineen pisto vastaa verikokeen ottoa, muuten tutkimus on kivuton. Käytettävällä tutkimusaineella ei ole todettu sivu- eikä jälkivaikutuksia. </w:t>
      </w:r>
      <w:r w:rsidRPr="001242C6">
        <w:rPr>
          <w:rFonts w:eastAsia="Times New Roman" w:cs="Arial"/>
          <w:b/>
          <w:szCs w:val="24"/>
          <w:lang w:eastAsia="fi-FI"/>
        </w:rPr>
        <w:t>Tutkimus</w:t>
      </w:r>
      <w:r w:rsidRPr="001242C6">
        <w:rPr>
          <w:rFonts w:eastAsia="Times New Roman" w:cs="Arial"/>
          <w:b/>
          <w:bCs/>
          <w:szCs w:val="24"/>
          <w:lang w:eastAsia="fi-FI"/>
        </w:rPr>
        <w:t>aineelle ei ole tavattu yliherkkyyttä</w:t>
      </w:r>
      <w:r w:rsidRPr="001242C6">
        <w:rPr>
          <w:rFonts w:eastAsia="Times New Roman" w:cs="Arial"/>
          <w:szCs w:val="24"/>
          <w:lang w:eastAsia="fi-FI"/>
        </w:rPr>
        <w:t>.</w:t>
      </w:r>
      <w:r w:rsidRPr="001242C6">
        <w:rPr>
          <w:rFonts w:eastAsia="Times New Roman" w:cs="Arial"/>
          <w:szCs w:val="24"/>
          <w:lang w:eastAsia="fi-FI"/>
        </w:rPr>
        <w:br/>
      </w:r>
    </w:p>
    <w:p w:rsidRPr="001242C6" w:rsidR="001242C6" w:rsidP="001242C6" w:rsidRDefault="001242C6" w14:paraId="0F75C43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Jälkitoimenpiteet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242C6" w:rsidR="001242C6" w:rsidP="001242C6" w:rsidRDefault="001242C6" w14:paraId="33F4256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 xml:space="preserve">Jos sinulla on </w:t>
      </w:r>
      <w:r w:rsidRPr="001242C6">
        <w:rPr>
          <w:rFonts w:eastAsia="Times New Roman" w:cs="Arial"/>
          <w:b/>
          <w:bCs/>
          <w:szCs w:val="24"/>
          <w:lang w:eastAsia="fi-FI"/>
        </w:rPr>
        <w:t>verikokeissa</w:t>
      </w:r>
      <w:r w:rsidRPr="001242C6">
        <w:rPr>
          <w:rFonts w:eastAsia="Times New Roman" w:cs="Arial"/>
          <w:szCs w:val="24"/>
          <w:lang w:eastAsia="fi-FI"/>
        </w:rPr>
        <w:t xml:space="preserve"> käynti, ilmoita siitä </w:t>
      </w:r>
      <w:r w:rsidRPr="001242C6">
        <w:rPr>
          <w:rFonts w:eastAsia="Times New Roman" w:cs="Arial"/>
          <w:b/>
          <w:bCs/>
          <w:szCs w:val="24"/>
          <w:lang w:eastAsia="fi-FI"/>
        </w:rPr>
        <w:t>isotoopin hoitajalle.</w:t>
      </w:r>
    </w:p>
    <w:p w:rsidRPr="001242C6" w:rsidR="001242C6" w:rsidP="001242C6" w:rsidRDefault="001242C6" w14:paraId="384CA51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b/>
          <w:bCs/>
          <w:szCs w:val="24"/>
          <w:lang w:eastAsia="fi-FI"/>
        </w:rPr>
        <w:br/>
      </w:r>
      <w:r w:rsidRPr="001242C6">
        <w:rPr>
          <w:rFonts w:eastAsia="Times New Roman" w:cs="Arial"/>
          <w:szCs w:val="24"/>
          <w:lang w:eastAsia="fi-FI"/>
        </w:rPr>
        <w:t xml:space="preserve">Odotusajan voit olla vapaasti sairaala-alueella tai käydä esim. kaupungilla. </w:t>
      </w:r>
      <w:r w:rsidRPr="001242C6">
        <w:rPr>
          <w:rFonts w:eastAsia="Times New Roman" w:cs="Arial"/>
          <w:szCs w:val="24"/>
          <w:lang w:eastAsia="fi-FI"/>
        </w:rPr>
        <w:br/>
      </w:r>
    </w:p>
    <w:p w:rsidRPr="001242C6" w:rsidR="001242C6" w:rsidP="001242C6" w:rsidRDefault="001242C6" w14:paraId="6F65F25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Tutkimuspäivänä sinun on suositeltavaa juoda nestettä normaalia runsaammin ja käydä tyhjentämässä virtsarakko mahdollisimman usein, näin tutkimusaine poistuu kehostasi nopeammin.</w:t>
      </w:r>
      <w:r w:rsidRPr="001242C6">
        <w:rPr>
          <w:rFonts w:eastAsia="Times New Roman" w:cs="Arial"/>
          <w:szCs w:val="24"/>
          <w:lang w:eastAsia="fi-FI"/>
        </w:rPr>
        <w:br/>
      </w:r>
    </w:p>
    <w:p w:rsidRPr="001242C6" w:rsidR="001242C6" w:rsidP="001242C6" w:rsidRDefault="001242C6" w14:paraId="350EDA0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Jos olet lähdössä tutkimuspäivänä tai sitä seuraavana päivänä ulkomaille, pyydä isotoopista todistus tullia varten.</w:t>
      </w:r>
    </w:p>
    <w:p w:rsidRPr="001242C6" w:rsidR="001242C6" w:rsidP="001242C6" w:rsidRDefault="001242C6" w14:paraId="15CF4A7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lastRenderedPageBreak/>
        <w:br/>
      </w:r>
      <w:r w:rsidRPr="001242C6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:rsidRPr="001242C6" w:rsidR="001242C6" w:rsidP="001242C6" w:rsidRDefault="001242C6" w14:paraId="4C6762E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242C6" w:rsidR="001242C6" w:rsidP="001242C6" w:rsidRDefault="001242C6" w14:paraId="35495AC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42C6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1242C6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242C6" w:rsidR="001242C6" w:rsidP="001242C6" w:rsidRDefault="001242C6" w14:paraId="5A2C8CF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Emme yleensä tee tutkimusta, mikäli olet raskaana tai epäilet olevasi raskaana. Ilmoita asiasta hoitavaan yksikköön, niin tutkimus siirretään sopivaan ajankohtaan.</w:t>
      </w:r>
      <w:r w:rsidRPr="001242C6">
        <w:rPr>
          <w:rFonts w:eastAsia="Times New Roman" w:cs="Arial"/>
          <w:szCs w:val="24"/>
          <w:lang w:eastAsia="fi-FI"/>
        </w:rPr>
        <w:br/>
      </w:r>
    </w:p>
    <w:p w:rsidRPr="001242C6" w:rsidR="001242C6" w:rsidP="001242C6" w:rsidRDefault="001242C6" w14:paraId="7A289F3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Radioaktiivinen tutkimusaine erittyy äidinmaitoon. Imetyksessä on pidettävä vuorokauden tauko.</w:t>
      </w:r>
      <w:r w:rsidRPr="001242C6">
        <w:rPr>
          <w:rFonts w:eastAsia="Times New Roman" w:cs="Arial"/>
          <w:szCs w:val="24"/>
          <w:lang w:eastAsia="fi-FI"/>
        </w:rPr>
        <w:br/>
      </w:r>
    </w:p>
    <w:p w:rsidRPr="001242C6" w:rsidR="001242C6" w:rsidP="001242C6" w:rsidRDefault="001242C6" w14:paraId="0370153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1242C6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1242C6" w:rsidR="001242C6" w:rsidP="001242C6" w:rsidRDefault="001242C6" w14:paraId="7DEB712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42C6" w:rsidR="001242C6" w:rsidP="001242C6" w:rsidRDefault="001242C6" w14:paraId="4C6063D2" w14:textId="640D780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</w:t>
      </w:r>
    </w:p>
    <w:p w:rsidRPr="001242C6" w:rsidR="001242C6" w:rsidP="001242C6" w:rsidRDefault="001242C6" w14:paraId="28E23EF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42C6" w:rsidR="001242C6" w:rsidP="001242C6" w:rsidRDefault="001242C6" w14:paraId="0A955A4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2C6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1242C6" w:rsidR="001242C6" w:rsidP="001242C6" w:rsidRDefault="001242C6" w14:paraId="1EB413A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42C6" w:rsidR="001F765E" w:rsidP="001242C6" w:rsidRDefault="001F765E" w14:paraId="50A94E83" w14:textId="77777777"/>
    <w:sectPr w:rsidRPr="001242C6" w:rsidR="001F765E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B82790" w:rsidRDefault="00E470CA" w14:paraId="29BDE7B4" w14:textId="7648A740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63B889D4">
                <wp:extent cx="1486880" cy="63817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725" cy="644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E598A" w:rsidP="008C4204" w:rsidRDefault="00E470CA" w14:paraId="5E79A185" w14:textId="45E62327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1242C6" w14:paraId="03A9524C" w14:textId="4D6E0811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5</w:t>
          </w:r>
          <w:r w:rsidRPr="00E470CA" w:rsidR="00E470CA">
            <w:rPr>
              <w:color w:val="auto"/>
            </w:rPr>
            <w:t>.20</w:t>
          </w:r>
          <w:r>
            <w:rPr>
              <w:color w:val="auto"/>
            </w:rPr>
            <w:t>08</w:t>
          </w:r>
          <w:r w:rsidRPr="00E470CA" w:rsidR="008C4204">
            <w:rPr>
              <w:color w:val="auto"/>
            </w:rPr>
            <w:br/>
          </w:r>
          <w:r w:rsidR="00321611"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 w:rsidR="00321611"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242C6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8E598A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7434B"/>
    <w:rsid w:val="00B82790"/>
    <w:rsid w:val="00BA70C1"/>
    <w:rsid w:val="00BB74D3"/>
    <w:rsid w:val="00BD014D"/>
    <w:rsid w:val="00C0194F"/>
    <w:rsid w:val="00C11735"/>
    <w:rsid w:val="00C27BBC"/>
    <w:rsid w:val="00C32733"/>
    <w:rsid w:val="00C443FD"/>
    <w:rsid w:val="00C81EC9"/>
    <w:rsid w:val="00C95126"/>
    <w:rsid w:val="00CC21AC"/>
    <w:rsid w:val="00CC389F"/>
    <w:rsid w:val="00D20358"/>
    <w:rsid w:val="00D87CC5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74D42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16952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20077</HB_MetaData>
    <HB_DocTitle xmlns="5f7715f8-5986-4f6c-a91e-03260bf63212">Tulehduspesakkeen_gammakuvaus.docx</HB_DocTitle>
    <TaxCatchAll xmlns="25ea4492-15d4-4b3d-b62a-d631fc6d931e">
      <Value>23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6477D-88A5-41CB-A073-49F4C324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281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Tulehduspesakkeen_gammakuvaus.docx</dc:title>
  <dc:subject/>
  <dc:creator>Even työstö</dc:creator>
  <cp:keywords/>
  <dc:description/>
  <cp:lastModifiedBy>Rantala Jukka</cp:lastModifiedBy>
  <cp:revision>29</cp:revision>
  <cp:lastPrinted>2022-12-29T08:22:00Z</cp:lastPrinted>
  <dcterms:created xsi:type="dcterms:W3CDTF">2023-01-19T10:41:00Z</dcterms:created>
  <dcterms:modified xsi:type="dcterms:W3CDTF">2023-02-15T07:24:00Z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