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13B28" w:rsidR="00BB43AD" w:rsidP="00C4526C" w:rsidRDefault="00BB43AD">
      <w:pPr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  <w:sz w:val="28"/>
          <w:szCs w:val="28"/>
        </w:rPr>
        <w:t>Uni-eeg lapsille</w:t>
      </w:r>
    </w:p>
    <w:p w:rsidRPr="00D274C9" w:rsidR="00BB43AD" w:rsidP="00131738" w:rsidRDefault="00BB43AD">
      <w:pPr>
        <w:rPr>
          <w:b/>
          <w:bCs/>
          <w:color w:val="800080"/>
          <w:sz w:val="22"/>
          <w:szCs w:val="22"/>
        </w:rPr>
      </w:pPr>
    </w:p>
    <w:p w:rsidRPr="007236AF" w:rsidR="001A17C4" w:rsidP="00174B70" w:rsidRDefault="00BB43AD">
      <w:pPr>
        <w:rPr>
          <w:bCs/>
          <w:color w:val="000000"/>
        </w:rPr>
      </w:pPr>
      <w:r w:rsidRPr="007236AF">
        <w:rPr>
          <w:b/>
          <w:bCs/>
          <w:color w:val="800080"/>
        </w:rPr>
        <w:t>Tutkimuspaikka</w:t>
      </w:r>
    </w:p>
    <w:p w:rsidRPr="007236AF" w:rsidR="00174B70" w:rsidP="00174B70" w:rsidRDefault="001A17C4">
      <w:proofErr w:type="gramStart"/>
      <w:r w:rsidRPr="007236AF">
        <w:t>Kainuun keskussairaala, Uusi sairaala.</w:t>
      </w:r>
      <w:proofErr w:type="gramEnd"/>
      <w:r w:rsidRPr="007236AF" w:rsidR="00174B70">
        <w:t xml:space="preserve"> Sisäänkäynti on sairaalan pääovesta F1. KNF sijaitsee pääaulasta eteenpäin ja oikealla. </w:t>
      </w:r>
      <w:r w:rsidRPr="007236AF">
        <w:t>Ilmoittautukaa</w:t>
      </w:r>
      <w:r w:rsidRPr="007236AF" w:rsidR="00174B70">
        <w:t xml:space="preserve"> pääaulassa olevalla ilmoittautumisautomaatilla </w:t>
      </w:r>
      <w:r w:rsidRPr="007236AF">
        <w:t xml:space="preserve">lapsen </w:t>
      </w:r>
      <w:r w:rsidRPr="007236AF" w:rsidR="00174B70">
        <w:t xml:space="preserve">Kela-kortilla tai muulla virallisella henkilöllisyystodistuksella. Automaatti </w:t>
      </w:r>
      <w:r w:rsidRPr="007236AF">
        <w:t>ohjaa teidät odottamaan tutkimukseen pääsyä oikeaan odotustilaan ja antaa vuoronumeron</w:t>
      </w:r>
      <w:r w:rsidRPr="007236AF" w:rsidR="007B775B">
        <w:t>,</w:t>
      </w:r>
      <w:r w:rsidRPr="007236AF">
        <w:t xml:space="preserve"> jolla lapsi kutsutaan tutkimukseen. </w:t>
      </w:r>
    </w:p>
    <w:p w:rsidRPr="007236AF" w:rsidR="00174B70" w:rsidP="00400F84" w:rsidRDefault="00174B70">
      <w:pPr>
        <w:rPr>
          <w:b/>
          <w:bCs/>
          <w:color w:val="800080"/>
        </w:rPr>
      </w:pPr>
    </w:p>
    <w:p w:rsidRPr="007236AF" w:rsidR="00BB43AD" w:rsidP="00400F84" w:rsidRDefault="00BB43AD">
      <w:pPr>
        <w:rPr>
          <w:b/>
          <w:bCs/>
          <w:color w:val="800080"/>
        </w:rPr>
      </w:pPr>
      <w:r w:rsidRPr="007236AF">
        <w:rPr>
          <w:b/>
          <w:bCs/>
          <w:color w:val="800080"/>
        </w:rPr>
        <w:t>Yleistä</w:t>
      </w:r>
    </w:p>
    <w:p w:rsidRPr="007236AF" w:rsidR="00BB43AD" w:rsidP="00D274C9" w:rsidRDefault="00BB43AD">
      <w:pPr>
        <w:rPr>
          <w:bCs/>
        </w:rPr>
      </w:pPr>
      <w:r w:rsidRPr="007236AF">
        <w:rPr>
          <w:bCs/>
        </w:rPr>
        <w:t>Tutkimuksella selvitetään aivosähkötoiminnan häiriöitä</w:t>
      </w:r>
      <w:r w:rsidRPr="007236AF" w:rsidR="00FD19A2">
        <w:rPr>
          <w:bCs/>
        </w:rPr>
        <w:t xml:space="preserve"> valveen sekä unen aikana</w:t>
      </w:r>
      <w:r w:rsidRPr="007236AF">
        <w:rPr>
          <w:bCs/>
        </w:rPr>
        <w:t>. Tutkimustuloksesta lähetetään lausunto lasta hoitavalle lääkärille.</w:t>
      </w:r>
    </w:p>
    <w:p w:rsidRPr="007236AF" w:rsidR="00BB43AD" w:rsidP="00400F84" w:rsidRDefault="00BB43AD">
      <w:pPr>
        <w:rPr>
          <w:b/>
          <w:bCs/>
          <w:color w:val="800080"/>
        </w:rPr>
      </w:pPr>
      <w:r w:rsidRPr="007236AF">
        <w:rPr>
          <w:b/>
          <w:bCs/>
          <w:color w:val="800080"/>
        </w:rPr>
        <w:tab/>
      </w:r>
      <w:r w:rsidRPr="007236AF">
        <w:rPr>
          <w:b/>
          <w:bCs/>
          <w:color w:val="800080"/>
        </w:rPr>
        <w:tab/>
      </w:r>
    </w:p>
    <w:p w:rsidRPr="007236AF" w:rsidR="00BB43AD" w:rsidP="00C4526C" w:rsidRDefault="00BB43AD">
      <w:pPr>
        <w:ind w:left="1440" w:hanging="1440"/>
        <w:rPr>
          <w:b/>
          <w:bCs/>
          <w:color w:val="800080"/>
        </w:rPr>
      </w:pPr>
      <w:r w:rsidRPr="007236AF">
        <w:rPr>
          <w:b/>
          <w:bCs/>
          <w:color w:val="800080"/>
        </w:rPr>
        <w:t>Tutkimukseen valmistautuminen</w:t>
      </w:r>
    </w:p>
    <w:p w:rsidRPr="007236AF" w:rsidR="00BB43AD" w:rsidP="00D274C9" w:rsidRDefault="00BB43AD">
      <w:pPr>
        <w:rPr>
          <w:bCs/>
        </w:rPr>
      </w:pPr>
      <w:r w:rsidRPr="007236AF">
        <w:rPr>
          <w:bCs/>
        </w:rPr>
        <w:t>Jotta lapsi nukahtaisi tutkimuksen aikana, häntä on pidettävä valve</w:t>
      </w:r>
      <w:r w:rsidRPr="007236AF" w:rsidR="00D274C9">
        <w:rPr>
          <w:bCs/>
        </w:rPr>
        <w:t xml:space="preserve">illa ennen tutkimusta seuraavan </w:t>
      </w:r>
      <w:r w:rsidRPr="007236AF">
        <w:rPr>
          <w:bCs/>
        </w:rPr>
        <w:t>ohjeen mukaan</w:t>
      </w:r>
    </w:p>
    <w:p w:rsidRPr="007236AF" w:rsidR="00BB43AD" w:rsidP="00D274C9" w:rsidRDefault="00BB43AD">
      <w:pPr>
        <w:ind w:firstLine="1304"/>
        <w:rPr>
          <w:bCs/>
        </w:rPr>
      </w:pPr>
      <w:r w:rsidRPr="007236AF">
        <w:rPr>
          <w:bCs/>
        </w:rPr>
        <w:t>0-1v</w:t>
      </w:r>
      <w:r w:rsidRPr="007236AF">
        <w:rPr>
          <w:bCs/>
        </w:rPr>
        <w:tab/>
        <w:t>hereillä yksi syöttöväli</w:t>
      </w:r>
    </w:p>
    <w:p w:rsidRPr="007236AF" w:rsidR="00BB43AD" w:rsidP="00D274C9" w:rsidRDefault="00BB43AD">
      <w:pPr>
        <w:ind w:firstLine="1304"/>
        <w:rPr>
          <w:bCs/>
        </w:rPr>
      </w:pPr>
      <w:r w:rsidRPr="007236AF">
        <w:rPr>
          <w:bCs/>
        </w:rPr>
        <w:t>1-2 v</w:t>
      </w:r>
      <w:r w:rsidRPr="007236AF">
        <w:rPr>
          <w:bCs/>
        </w:rPr>
        <w:tab/>
        <w:t>herätys klo 5</w:t>
      </w:r>
    </w:p>
    <w:p w:rsidRPr="007236AF" w:rsidR="00BB43AD" w:rsidP="00D274C9" w:rsidRDefault="00BB43AD">
      <w:pPr>
        <w:ind w:firstLine="1304"/>
        <w:rPr>
          <w:bCs/>
        </w:rPr>
      </w:pPr>
      <w:r w:rsidRPr="007236AF">
        <w:rPr>
          <w:bCs/>
        </w:rPr>
        <w:t>3-5 v</w:t>
      </w:r>
      <w:r w:rsidRPr="007236AF">
        <w:rPr>
          <w:bCs/>
        </w:rPr>
        <w:tab/>
        <w:t>saa nukkua klo 23-4</w:t>
      </w:r>
    </w:p>
    <w:p w:rsidRPr="007236AF" w:rsidR="00BB43AD" w:rsidP="00D274C9" w:rsidRDefault="00BB43AD">
      <w:pPr>
        <w:ind w:firstLine="1304"/>
        <w:rPr>
          <w:bCs/>
        </w:rPr>
      </w:pPr>
      <w:r w:rsidRPr="007236AF">
        <w:rPr>
          <w:bCs/>
        </w:rPr>
        <w:t>6-15v</w:t>
      </w:r>
      <w:r w:rsidRPr="007236AF">
        <w:rPr>
          <w:bCs/>
        </w:rPr>
        <w:tab/>
        <w:t>saa nukkua klo 23-2</w:t>
      </w:r>
    </w:p>
    <w:p w:rsidRPr="007236AF" w:rsidR="00BB43AD" w:rsidP="00265D16" w:rsidRDefault="00BB43AD">
      <w:pPr>
        <w:ind w:left="1304"/>
        <w:rPr>
          <w:bCs/>
        </w:rPr>
      </w:pPr>
    </w:p>
    <w:p w:rsidRPr="007236AF" w:rsidR="00BB43AD" w:rsidP="00D274C9" w:rsidRDefault="00BB43AD">
      <w:pPr>
        <w:rPr>
          <w:b/>
          <w:bCs/>
        </w:rPr>
      </w:pPr>
      <w:r w:rsidRPr="007236AF">
        <w:rPr>
          <w:b/>
          <w:bCs/>
        </w:rPr>
        <w:t>Myös matkalla tutkimukseen lapsi on ehdottomasti pidettävä hereillä.</w:t>
      </w:r>
    </w:p>
    <w:p w:rsidRPr="007236AF" w:rsidR="00BB43AD" w:rsidP="00265D16" w:rsidRDefault="00BB43AD">
      <w:pPr>
        <w:ind w:left="1304"/>
        <w:rPr>
          <w:b/>
          <w:bCs/>
        </w:rPr>
      </w:pPr>
    </w:p>
    <w:p w:rsidRPr="007236AF" w:rsidR="00BB43AD" w:rsidP="00D274C9" w:rsidRDefault="00BB43AD">
      <w:pPr>
        <w:rPr>
          <w:bCs/>
        </w:rPr>
      </w:pPr>
      <w:r w:rsidRPr="007236AF">
        <w:rPr>
          <w:bCs/>
        </w:rPr>
        <w:t xml:space="preserve">Aamulla ennen tutkimukseen tuloa ei saa juoda kahvia, teetä eikä kolajuomia. Aamupalan nauttiminen on suotavaa, jolloin lapsen on helpompi nukahtaa. Lääkkeet </w:t>
      </w:r>
      <w:r w:rsidRPr="007236AF" w:rsidR="00D274C9">
        <w:rPr>
          <w:bCs/>
        </w:rPr>
        <w:t xml:space="preserve">lapsi </w:t>
      </w:r>
      <w:r w:rsidRPr="007236AF">
        <w:rPr>
          <w:bCs/>
        </w:rPr>
        <w:t>saa ottaa normaalisti</w:t>
      </w:r>
      <w:r w:rsidRPr="007236AF" w:rsidR="00D274C9">
        <w:rPr>
          <w:bCs/>
        </w:rPr>
        <w:t>,</w:t>
      </w:r>
      <w:r w:rsidRPr="007236AF">
        <w:rPr>
          <w:bCs/>
        </w:rPr>
        <w:t xml:space="preserve"> ellei hoitava lääkäri ole ohjeistanut toisin.</w:t>
      </w:r>
    </w:p>
    <w:p w:rsidRPr="007236AF" w:rsidR="00BB43AD" w:rsidP="00265D16" w:rsidRDefault="00BB43AD">
      <w:pPr>
        <w:ind w:left="1304"/>
        <w:rPr>
          <w:bCs/>
        </w:rPr>
      </w:pPr>
    </w:p>
    <w:p w:rsidRPr="007236AF" w:rsidR="00BB43AD" w:rsidP="00D274C9" w:rsidRDefault="00D274C9">
      <w:pPr>
        <w:rPr>
          <w:bCs/>
        </w:rPr>
      </w:pPr>
      <w:r w:rsidRPr="007236AF">
        <w:rPr>
          <w:bCs/>
        </w:rPr>
        <w:t>Lapsen h</w:t>
      </w:r>
      <w:r w:rsidRPr="007236AF" w:rsidR="00BB43AD">
        <w:rPr>
          <w:bCs/>
        </w:rPr>
        <w:t>iusten on oltava pu</w:t>
      </w:r>
      <w:r w:rsidRPr="007236AF" w:rsidR="00FD19A2">
        <w:rPr>
          <w:bCs/>
        </w:rPr>
        <w:t>htaat ja kuivat. Hiuslakkaa ja -</w:t>
      </w:r>
      <w:r w:rsidRPr="007236AF">
        <w:rPr>
          <w:bCs/>
        </w:rPr>
        <w:t>voiteita hän ei</w:t>
      </w:r>
      <w:r w:rsidRPr="007236AF" w:rsidR="00BB43AD">
        <w:rPr>
          <w:bCs/>
        </w:rPr>
        <w:t xml:space="preserve"> saa käyttää. Lapselle voi ottaa mukaan maito/mehupullon ja unilelun.</w:t>
      </w:r>
    </w:p>
    <w:p w:rsidRPr="007236AF" w:rsidR="00BB43AD" w:rsidP="00265D16" w:rsidRDefault="00BB43AD">
      <w:pPr>
        <w:ind w:left="1304"/>
        <w:rPr>
          <w:bCs/>
          <w:color w:val="800080"/>
        </w:rPr>
      </w:pPr>
    </w:p>
    <w:p w:rsidRPr="007236AF" w:rsidR="00BB43AD" w:rsidP="00C4526C" w:rsidRDefault="00BB43AD">
      <w:pPr>
        <w:ind w:left="1440" w:hanging="1440"/>
        <w:rPr>
          <w:b/>
          <w:bCs/>
          <w:color w:val="800080"/>
        </w:rPr>
      </w:pPr>
      <w:r w:rsidRPr="007236AF">
        <w:rPr>
          <w:b/>
          <w:bCs/>
          <w:color w:val="800080"/>
        </w:rPr>
        <w:t>Tutkimuksen suoritus</w:t>
      </w:r>
    </w:p>
    <w:p w:rsidRPr="007236AF" w:rsidR="00BB43AD" w:rsidP="00D274C9" w:rsidRDefault="00BB43AD">
      <w:r w:rsidRPr="007236AF">
        <w:t>Tutkimuksessa rekisteröidään aivojen sähköistä toimintaa. Rekisteröinti tapahtuu p</w:t>
      </w:r>
      <w:r w:rsidRPr="007236AF" w:rsidR="004C0052">
        <w:t>ään iholta elektrodimyssyn ja -</w:t>
      </w:r>
      <w:r w:rsidRPr="007236AF">
        <w:t>geelin avulla. Myssy yhdistetään tutkimuslaitteeseen, joka rekisteröi tietokoneelle aivojen sähköiset ilmiöt. Tutkimuksen alkupuolella</w:t>
      </w:r>
      <w:r w:rsidRPr="007236AF" w:rsidR="00E30221">
        <w:t xml:space="preserve"> saa nukahtaa. Lapsen annetaan nukkua noin 20</w:t>
      </w:r>
      <w:r w:rsidR="00A5385D">
        <w:t>-30 minuuttia</w:t>
      </w:r>
      <w:bookmarkStart w:name="_GoBack" w:id="0"/>
      <w:bookmarkEnd w:id="0"/>
      <w:r w:rsidRPr="007236AF" w:rsidR="00E30221">
        <w:t>.</w:t>
      </w:r>
      <w:r w:rsidRPr="007236AF">
        <w:t xml:space="preserve"> </w:t>
      </w:r>
      <w:r w:rsidRPr="007236AF" w:rsidR="00E30221">
        <w:t>Herättämisen jälkeen rekisteröidään vielä valvetta</w:t>
      </w:r>
      <w:r w:rsidR="00AF0744">
        <w:t>,</w:t>
      </w:r>
      <w:r w:rsidRPr="007236AF">
        <w:t xml:space="preserve"> jolloin </w:t>
      </w:r>
      <w:r w:rsidRPr="007236AF" w:rsidR="00EE1796">
        <w:t>mahdollisesti</w:t>
      </w:r>
      <w:r w:rsidRPr="007236AF">
        <w:t xml:space="preserve"> a</w:t>
      </w:r>
      <w:r w:rsidRPr="007236AF" w:rsidR="00EE1796">
        <w:t>nnetaan vilkkuvaloärsykkeitä ja</w:t>
      </w:r>
      <w:r w:rsidRPr="007236AF">
        <w:t xml:space="preserve"> lapsi ohjeistetaan hengittämään ta</w:t>
      </w:r>
      <w:r w:rsidRPr="007236AF" w:rsidR="00E30221">
        <w:t>vallista syvempään lyhyen ajan.</w:t>
      </w:r>
    </w:p>
    <w:p w:rsidRPr="007236AF" w:rsidR="00E30221" w:rsidP="00D274C9" w:rsidRDefault="00E30221"/>
    <w:p w:rsidRPr="007236AF" w:rsidR="00BB43AD" w:rsidP="00D274C9" w:rsidRDefault="00BB43AD">
      <w:r w:rsidRPr="007236AF">
        <w:t>Tutkimus on vaaraton ja kivuton, mutta rekisteröinnin onnistumisen kannalta välttämätön päänahan rapsuttelu voi tuntua epämiellyttävältä.</w:t>
      </w:r>
    </w:p>
    <w:p w:rsidRPr="007236AF" w:rsidR="00BB43AD" w:rsidP="00D274C9" w:rsidRDefault="00BB43AD"/>
    <w:p w:rsidRPr="007236AF" w:rsidR="00BB43AD" w:rsidP="00D274C9" w:rsidRDefault="00BB43AD">
      <w:r w:rsidRPr="007236AF">
        <w:t>Tutkimus kestää reilun tunnin ja sillä ei ole jälkivaikutuksia. Tosin päänahkaan ja hiuksiin jää hieman elektrodigeeliä.</w:t>
      </w:r>
    </w:p>
    <w:p w:rsidRPr="007236AF" w:rsidR="00BB43AD" w:rsidP="00C4526C" w:rsidRDefault="00BB43AD">
      <w:pPr>
        <w:ind w:hanging="124"/>
      </w:pPr>
    </w:p>
    <w:p w:rsidR="00AF0744" w:rsidP="00D274C9" w:rsidRDefault="00AF0744">
      <w:pPr>
        <w:rPr>
          <w:b/>
          <w:bCs/>
          <w:color w:val="800080"/>
        </w:rPr>
      </w:pPr>
    </w:p>
    <w:p w:rsidR="00AF0744" w:rsidP="00D274C9" w:rsidRDefault="00AF0744">
      <w:pPr>
        <w:rPr>
          <w:b/>
          <w:bCs/>
          <w:color w:val="800080"/>
        </w:rPr>
      </w:pPr>
    </w:p>
    <w:p w:rsidR="00AF0744" w:rsidP="00D274C9" w:rsidRDefault="00AF0744">
      <w:pPr>
        <w:rPr>
          <w:b/>
          <w:bCs/>
          <w:color w:val="800080"/>
        </w:rPr>
      </w:pPr>
    </w:p>
    <w:p w:rsidRPr="007236AF" w:rsidR="00D274C9" w:rsidP="00D274C9" w:rsidRDefault="00BB43AD">
      <w:pPr>
        <w:rPr>
          <w:b/>
          <w:bCs/>
          <w:color w:val="800080"/>
        </w:rPr>
      </w:pPr>
      <w:r w:rsidRPr="007236AF">
        <w:rPr>
          <w:b/>
          <w:bCs/>
          <w:color w:val="800080"/>
        </w:rPr>
        <w:lastRenderedPageBreak/>
        <w:t>Yhteystiedot</w:t>
      </w:r>
    </w:p>
    <w:p w:rsidRPr="007236AF" w:rsidR="00D274C9" w:rsidP="00D274C9" w:rsidRDefault="00D274C9">
      <w:pPr>
        <w:rPr>
          <w:b/>
          <w:bCs/>
          <w:color w:val="800080"/>
        </w:rPr>
      </w:pPr>
      <w:r w:rsidRPr="007236AF">
        <w:rPr>
          <w:bCs/>
        </w:rPr>
        <w:t>Perumattomasta ajasta peritään sakkomaksu 15 vuotta täyttäneeltä potilaalta. Peruminen on tehtävä viimeistään edellisenä päivänä klo 12 mennessä lähettävän yksikön takaisinsoittonumeroon.</w:t>
      </w:r>
    </w:p>
    <w:p w:rsidRPr="007236AF" w:rsidR="00D274C9" w:rsidP="00D274C9" w:rsidRDefault="00D274C9"/>
    <w:p w:rsidRPr="007236AF" w:rsidR="00D274C9" w:rsidP="00D274C9" w:rsidRDefault="00D274C9">
      <w:r w:rsidRPr="007236AF"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sectPr w:rsidRPr="007236AF" w:rsidR="00D274C9" w:rsidSect="00F71DFE">
      <w:headerReference w:type="default" r:id="rId7"/>
      <w:footerReference w:type="default" r:id="rId8"/>
      <w:pgSz w:w="11906" w:h="16838" w:code="9"/>
      <w:pgMar w:top="81" w:right="567" w:bottom="726" w:left="1134" w:header="56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AD" w:rsidRDefault="00BB43AD">
      <w:r>
        <w:separator/>
      </w:r>
    </w:p>
  </w:endnote>
  <w:endnote w:type="continuationSeparator" w:id="0">
    <w:p w:rsidR="00BB43AD" w:rsidRDefault="00B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2" w:type="dxa"/>
      <w:tblInd w:w="-55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89"/>
      <w:gridCol w:w="1134"/>
      <w:gridCol w:w="1617"/>
      <w:gridCol w:w="3770"/>
      <w:gridCol w:w="3182"/>
    </w:tblGrid>
    <w:tr w:rsidR="00736E43" w:rsidTr="00D274C9">
      <w:trPr>
        <w:trHeight w:val="1237"/>
      </w:trPr>
      <w:tc>
        <w:tcPr>
          <w:tcW w:w="1189" w:type="dxa"/>
          <w:tcBorders>
            <w:top w:val="single" w:color="808080" w:sz="4" w:space="0"/>
          </w:tcBorders>
        </w:tcPr>
        <w:p w:rsidRPr="00F40848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134" w:type="dxa"/>
          <w:tcBorders>
            <w:top w:val="single" w:color="808080" w:sz="4" w:space="0"/>
          </w:tcBorders>
        </w:tcPr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D274C9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D274C9">
            <w:rPr>
              <w:bCs/>
              <w:sz w:val="14"/>
              <w:szCs w:val="14"/>
            </w:rPr>
            <w:t>Sotkamontie</w:t>
          </w:r>
          <w:proofErr w:type="spellEnd"/>
          <w:r w:rsidRPr="00D274C9">
            <w:rPr>
              <w:bCs/>
              <w:sz w:val="14"/>
              <w:szCs w:val="14"/>
            </w:rPr>
            <w:t xml:space="preserve"> 13</w:t>
          </w:r>
        </w:p>
        <w:p w:rsidRPr="003128A0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 w:rsidRPr="00D274C9">
            <w:rPr>
              <w:bCs/>
              <w:sz w:val="14"/>
              <w:szCs w:val="14"/>
            </w:rPr>
            <w:t>87300 Kajaani</w:t>
          </w:r>
        </w:p>
      </w:tc>
      <w:tc>
        <w:tcPr>
          <w:tcW w:w="1617" w:type="dxa"/>
          <w:tcBorders>
            <w:top w:val="single" w:color="808080" w:sz="4" w:space="0"/>
          </w:tcBorders>
        </w:tcPr>
        <w:p w:rsidRPr="00F40848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736E43" w:rsidP="006C1ABB" w:rsidRDefault="00D274C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D274C9" w:rsidP="006C1ABB" w:rsidRDefault="00D274C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D274C9" w:rsidP="006C1ABB" w:rsidRDefault="00D274C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040 1533 240</w:t>
          </w:r>
        </w:p>
      </w:tc>
      <w:tc>
        <w:tcPr>
          <w:tcW w:w="3770" w:type="dxa"/>
          <w:tcBorders>
            <w:top w:val="single" w:color="808080" w:sz="4" w:space="0"/>
          </w:tcBorders>
        </w:tcPr>
        <w:p w:rsidRPr="00E37B29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="00736E43" w:rsidP="006C1ABB" w:rsidRDefault="00A5385D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72416C" w:rsidR="00D274C9">
              <w:rPr>
                <w:rStyle w:val="Hyperlinkki"/>
                <w:rFonts w:cs="Arial"/>
                <w:sz w:val="14"/>
                <w:szCs w:val="14"/>
              </w:rPr>
              <w:t>https://sote.kainuu.fi/toimipisteet/kliininen-neurofysiologia</w:t>
            </w:r>
          </w:hyperlink>
        </w:p>
        <w:p w:rsidRPr="00F40848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6"/>
              <w:szCs w:val="16"/>
            </w:rPr>
          </w:pPr>
        </w:p>
      </w:tc>
      <w:tc>
        <w:tcPr>
          <w:tcW w:w="3182" w:type="dxa"/>
          <w:tcBorders>
            <w:top w:val="single" w:color="808080" w:sz="4" w:space="0"/>
          </w:tcBorders>
        </w:tcPr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noProof/>
            </w:rPr>
          </w:pPr>
        </w:p>
        <w:p w:rsidRPr="00E37B29" w:rsidR="00736E43" w:rsidP="006C1ABB" w:rsidRDefault="00736E43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0" wp14:editId="5C6A0A7C" wp14:anchorId="39B12876">
                <wp:simplePos x="0" y="0"/>
                <wp:positionH relativeFrom="column">
                  <wp:posOffset>481965</wp:posOffset>
                </wp:positionH>
                <wp:positionV relativeFrom="paragraph">
                  <wp:posOffset>-339725</wp:posOffset>
                </wp:positionV>
                <wp:extent cx="1257300" cy="427355"/>
                <wp:effectExtent l="0" t="0" r="0" b="0"/>
                <wp:wrapTight wrapText="bothSides">
                  <wp:wrapPolygon edited="0">
                    <wp:start x="0" y="0"/>
                    <wp:lineTo x="0" y="20220"/>
                    <wp:lineTo x="21273" y="20220"/>
                    <wp:lineTo x="21273" y="0"/>
                    <wp:lineTo x="0" y="0"/>
                  </wp:wrapPolygon>
                </wp:wrapTight>
                <wp:docPr id="6" name="Kuva 6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BB43AD" w:rsidP="008C2A89" w:rsidRDefault="00BB43AD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AD" w:rsidRDefault="00BB43AD">
      <w:r>
        <w:separator/>
      </w:r>
    </w:p>
  </w:footnote>
  <w:footnote w:type="continuationSeparator" w:id="0">
    <w:p w:rsidR="00BB43AD" w:rsidRDefault="00BB43A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BB43AD">
      <w:trPr>
        <w:trHeight w:val="399"/>
      </w:trPr>
      <w:tc>
        <w:tcPr>
          <w:tcW w:w="1101" w:type="dxa"/>
          <w:vMerge w:val="restart"/>
        </w:tcPr>
        <w:p w:rsidR="00BB43AD" w:rsidRDefault="002514A2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editId="21D4EDED" wp14:anchorId="3439A0A7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FC6390" w:rsidR="00BB43AD" w:rsidP="005D2A71" w:rsidRDefault="00BB43AD">
          <w:pPr>
            <w:tabs>
              <w:tab w:val="left" w:pos="1418"/>
            </w:tabs>
            <w:ind w:left="151"/>
            <w:rPr>
              <w:b/>
            </w:rPr>
          </w:pPr>
          <w:r w:rsidRPr="00FC6390">
            <w:rPr>
              <w:b/>
            </w:rPr>
            <w:t xml:space="preserve">Kainuun </w:t>
          </w:r>
          <w:proofErr w:type="spellStart"/>
          <w:r w:rsidRPr="00FC6390">
            <w:rPr>
              <w:b/>
            </w:rPr>
            <w:t>sosiaali</w:t>
          </w:r>
          <w:proofErr w:type="spellEnd"/>
          <w:r w:rsidRPr="00FC6390">
            <w:rPr>
              <w:b/>
            </w:rPr>
            <w:t xml:space="preserve">- ja </w:t>
          </w:r>
        </w:p>
        <w:p w:rsidRPr="00FC6390" w:rsidR="00BB43AD" w:rsidP="005D2A71" w:rsidRDefault="00BB43AD">
          <w:pPr>
            <w:tabs>
              <w:tab w:val="left" w:pos="1418"/>
            </w:tabs>
            <w:ind w:left="151"/>
            <w:rPr>
              <w:b/>
            </w:rPr>
          </w:pPr>
          <w:r w:rsidRPr="00FC6390">
            <w:rPr>
              <w:b/>
            </w:rPr>
            <w:t>terveydenhuollon kuntayhtymä</w:t>
          </w:r>
        </w:p>
        <w:p w:rsidR="00FC6390" w:rsidP="00FC6390" w:rsidRDefault="00FD19A2">
          <w:pPr>
            <w:ind w:firstLine="151"/>
          </w:pPr>
          <w:r>
            <w:t>Kuvantaminen</w:t>
          </w:r>
        </w:p>
        <w:p w:rsidR="00FD19A2" w:rsidP="00FC6390" w:rsidRDefault="00FD19A2">
          <w:pPr>
            <w:ind w:firstLine="151"/>
          </w:pPr>
          <w:r>
            <w:t>Kliininen neurofysiologia</w:t>
          </w:r>
        </w:p>
      </w:tc>
      <w:tc>
        <w:tcPr>
          <w:tcW w:w="2547" w:type="dxa"/>
          <w:gridSpan w:val="2"/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BB43AD" w:rsidP="00C31133" w:rsidRDefault="00BB43AD"/>
      </w:tc>
      <w:tc>
        <w:tcPr>
          <w:tcW w:w="1080" w:type="dxa"/>
        </w:tcPr>
        <w:p w:rsidRPr="005D2A71" w:rsidR="00BB43AD" w:rsidP="005D2A71" w:rsidRDefault="00BB43AD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A5385D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A5385D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BB43AD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Laadittu</w:t>
          </w:r>
          <w:proofErr w:type="gramEnd"/>
        </w:p>
      </w:tc>
      <w:tc>
        <w:tcPr>
          <w:tcW w:w="1406" w:type="dxa"/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18.6.2012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BB43AD" w:rsidP="005D2A71" w:rsidRDefault="00BB43AD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BB43AD" w:rsidP="005D2A71" w:rsidRDefault="00BB43AD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BB43AD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BB43AD" w:rsidP="005D2A71" w:rsidRDefault="00BB43A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Päivitetty</w:t>
          </w:r>
          <w:proofErr w:type="gramEnd"/>
        </w:p>
      </w:tc>
      <w:tc>
        <w:tcPr>
          <w:tcW w:w="1406" w:type="dxa"/>
        </w:tcPr>
        <w:p w:rsidRPr="005D2A71" w:rsidR="00BB43AD" w:rsidP="00D345E0" w:rsidRDefault="00EA177F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  <w:r w:rsidR="00673ABB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8.2022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BB43AD" w:rsidP="005D2A71" w:rsidRDefault="00BB43AD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Pr="00736E43" w:rsidR="00BB43AD" w:rsidP="00F71DFE" w:rsidRDefault="00BB43AD">
    <w:pPr>
      <w:pStyle w:val="Yltunniste"/>
      <w:tabs>
        <w:tab w:val="left" w:pos="980"/>
        <w:tab w:val="left" w:pos="5220"/>
        <w:tab w:val="left" w:pos="90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8"/>
    <w:rsid w:val="00010570"/>
    <w:rsid w:val="00017251"/>
    <w:rsid w:val="00024455"/>
    <w:rsid w:val="00031437"/>
    <w:rsid w:val="0007282E"/>
    <w:rsid w:val="000766B6"/>
    <w:rsid w:val="00076871"/>
    <w:rsid w:val="00080909"/>
    <w:rsid w:val="000B54EC"/>
    <w:rsid w:val="000D516C"/>
    <w:rsid w:val="000D5F23"/>
    <w:rsid w:val="000E3C9E"/>
    <w:rsid w:val="000E5936"/>
    <w:rsid w:val="000F7588"/>
    <w:rsid w:val="0011092F"/>
    <w:rsid w:val="001121DC"/>
    <w:rsid w:val="00114766"/>
    <w:rsid w:val="00125082"/>
    <w:rsid w:val="00131738"/>
    <w:rsid w:val="00151299"/>
    <w:rsid w:val="0016555B"/>
    <w:rsid w:val="00174B70"/>
    <w:rsid w:val="00194A79"/>
    <w:rsid w:val="001A17C4"/>
    <w:rsid w:val="001A332A"/>
    <w:rsid w:val="001A3EB8"/>
    <w:rsid w:val="001C1DA8"/>
    <w:rsid w:val="001C3827"/>
    <w:rsid w:val="001F2460"/>
    <w:rsid w:val="00207E9D"/>
    <w:rsid w:val="00213B28"/>
    <w:rsid w:val="00237D22"/>
    <w:rsid w:val="002514A2"/>
    <w:rsid w:val="00251889"/>
    <w:rsid w:val="00252893"/>
    <w:rsid w:val="00252A5E"/>
    <w:rsid w:val="00255DFD"/>
    <w:rsid w:val="00256593"/>
    <w:rsid w:val="00265D16"/>
    <w:rsid w:val="00284E56"/>
    <w:rsid w:val="002D1414"/>
    <w:rsid w:val="002E0062"/>
    <w:rsid w:val="002F70AE"/>
    <w:rsid w:val="003349F3"/>
    <w:rsid w:val="00335A9D"/>
    <w:rsid w:val="00352A55"/>
    <w:rsid w:val="003543A7"/>
    <w:rsid w:val="00360DE4"/>
    <w:rsid w:val="0036328F"/>
    <w:rsid w:val="003644A5"/>
    <w:rsid w:val="003751C2"/>
    <w:rsid w:val="003A0AF0"/>
    <w:rsid w:val="003B51BD"/>
    <w:rsid w:val="003B79AE"/>
    <w:rsid w:val="003C4C03"/>
    <w:rsid w:val="003C7181"/>
    <w:rsid w:val="003D0EA5"/>
    <w:rsid w:val="00400F84"/>
    <w:rsid w:val="00417167"/>
    <w:rsid w:val="0041727B"/>
    <w:rsid w:val="00422F07"/>
    <w:rsid w:val="00426E7C"/>
    <w:rsid w:val="00466F5F"/>
    <w:rsid w:val="004A1F38"/>
    <w:rsid w:val="004B022B"/>
    <w:rsid w:val="004C0052"/>
    <w:rsid w:val="004C667B"/>
    <w:rsid w:val="004D524A"/>
    <w:rsid w:val="004E3430"/>
    <w:rsid w:val="00523E7B"/>
    <w:rsid w:val="00534716"/>
    <w:rsid w:val="00552E5E"/>
    <w:rsid w:val="005D2A71"/>
    <w:rsid w:val="00605A86"/>
    <w:rsid w:val="006163C8"/>
    <w:rsid w:val="00620C18"/>
    <w:rsid w:val="00625B76"/>
    <w:rsid w:val="00630951"/>
    <w:rsid w:val="006359CE"/>
    <w:rsid w:val="006446F9"/>
    <w:rsid w:val="00645087"/>
    <w:rsid w:val="00647936"/>
    <w:rsid w:val="00655974"/>
    <w:rsid w:val="00661171"/>
    <w:rsid w:val="00673ABB"/>
    <w:rsid w:val="006B0F8C"/>
    <w:rsid w:val="006D0DB6"/>
    <w:rsid w:val="006D65F4"/>
    <w:rsid w:val="00706975"/>
    <w:rsid w:val="00711239"/>
    <w:rsid w:val="00716EEF"/>
    <w:rsid w:val="00720CA8"/>
    <w:rsid w:val="00720EBB"/>
    <w:rsid w:val="007236AF"/>
    <w:rsid w:val="00736E43"/>
    <w:rsid w:val="00763A72"/>
    <w:rsid w:val="007663B7"/>
    <w:rsid w:val="00791CDF"/>
    <w:rsid w:val="007A1FE2"/>
    <w:rsid w:val="007A7777"/>
    <w:rsid w:val="007B775B"/>
    <w:rsid w:val="007C0D83"/>
    <w:rsid w:val="007E4E7C"/>
    <w:rsid w:val="007E7AE2"/>
    <w:rsid w:val="007F7D0F"/>
    <w:rsid w:val="00840DD9"/>
    <w:rsid w:val="0087018E"/>
    <w:rsid w:val="00877CDC"/>
    <w:rsid w:val="00887AE4"/>
    <w:rsid w:val="00895A13"/>
    <w:rsid w:val="008A00CC"/>
    <w:rsid w:val="008C0156"/>
    <w:rsid w:val="008C2A89"/>
    <w:rsid w:val="008F03AB"/>
    <w:rsid w:val="00927124"/>
    <w:rsid w:val="009468C5"/>
    <w:rsid w:val="00962B70"/>
    <w:rsid w:val="00967C1A"/>
    <w:rsid w:val="00970763"/>
    <w:rsid w:val="00991660"/>
    <w:rsid w:val="009A07A3"/>
    <w:rsid w:val="009A7B23"/>
    <w:rsid w:val="009D1254"/>
    <w:rsid w:val="009E37B5"/>
    <w:rsid w:val="00A145A6"/>
    <w:rsid w:val="00A213A3"/>
    <w:rsid w:val="00A5385D"/>
    <w:rsid w:val="00A77318"/>
    <w:rsid w:val="00A929DA"/>
    <w:rsid w:val="00A96A1C"/>
    <w:rsid w:val="00AB2B55"/>
    <w:rsid w:val="00AB6085"/>
    <w:rsid w:val="00AE5933"/>
    <w:rsid w:val="00AF0744"/>
    <w:rsid w:val="00AF1ECE"/>
    <w:rsid w:val="00B06861"/>
    <w:rsid w:val="00B33126"/>
    <w:rsid w:val="00B43FEB"/>
    <w:rsid w:val="00B4710E"/>
    <w:rsid w:val="00B478DF"/>
    <w:rsid w:val="00B5438D"/>
    <w:rsid w:val="00B57C31"/>
    <w:rsid w:val="00B93545"/>
    <w:rsid w:val="00B962C1"/>
    <w:rsid w:val="00BA3AD7"/>
    <w:rsid w:val="00BB43AD"/>
    <w:rsid w:val="00BE65C1"/>
    <w:rsid w:val="00C01EF5"/>
    <w:rsid w:val="00C13338"/>
    <w:rsid w:val="00C31133"/>
    <w:rsid w:val="00C35177"/>
    <w:rsid w:val="00C4526C"/>
    <w:rsid w:val="00C45E9E"/>
    <w:rsid w:val="00C50BB0"/>
    <w:rsid w:val="00C56525"/>
    <w:rsid w:val="00CA5500"/>
    <w:rsid w:val="00CA658E"/>
    <w:rsid w:val="00CD1E8A"/>
    <w:rsid w:val="00CF3CDB"/>
    <w:rsid w:val="00D03C68"/>
    <w:rsid w:val="00D206DA"/>
    <w:rsid w:val="00D216AB"/>
    <w:rsid w:val="00D21706"/>
    <w:rsid w:val="00D234FC"/>
    <w:rsid w:val="00D26C7D"/>
    <w:rsid w:val="00D274C9"/>
    <w:rsid w:val="00D308C6"/>
    <w:rsid w:val="00D345E0"/>
    <w:rsid w:val="00D445D9"/>
    <w:rsid w:val="00D503EE"/>
    <w:rsid w:val="00D51B4C"/>
    <w:rsid w:val="00D878F7"/>
    <w:rsid w:val="00D948DF"/>
    <w:rsid w:val="00D94AEE"/>
    <w:rsid w:val="00D95899"/>
    <w:rsid w:val="00DA51AC"/>
    <w:rsid w:val="00DA55A0"/>
    <w:rsid w:val="00DA6166"/>
    <w:rsid w:val="00DC703B"/>
    <w:rsid w:val="00DC77E4"/>
    <w:rsid w:val="00DD0182"/>
    <w:rsid w:val="00DE1A6B"/>
    <w:rsid w:val="00DF1236"/>
    <w:rsid w:val="00DF5160"/>
    <w:rsid w:val="00E16FD4"/>
    <w:rsid w:val="00E30221"/>
    <w:rsid w:val="00E36DDF"/>
    <w:rsid w:val="00E37B29"/>
    <w:rsid w:val="00E405BE"/>
    <w:rsid w:val="00E43F01"/>
    <w:rsid w:val="00E545C1"/>
    <w:rsid w:val="00E7657E"/>
    <w:rsid w:val="00EA177F"/>
    <w:rsid w:val="00EA3260"/>
    <w:rsid w:val="00ED6D32"/>
    <w:rsid w:val="00ED7945"/>
    <w:rsid w:val="00EE1796"/>
    <w:rsid w:val="00EF0852"/>
    <w:rsid w:val="00F063D8"/>
    <w:rsid w:val="00F40848"/>
    <w:rsid w:val="00F42D7D"/>
    <w:rsid w:val="00F52FD2"/>
    <w:rsid w:val="00F65BE8"/>
    <w:rsid w:val="00F71DFE"/>
    <w:rsid w:val="00F81735"/>
    <w:rsid w:val="00F836CA"/>
    <w:rsid w:val="00FA0574"/>
    <w:rsid w:val="00FA7C57"/>
    <w:rsid w:val="00FB20D1"/>
    <w:rsid w:val="00FC2A53"/>
    <w:rsid w:val="00FC6390"/>
    <w:rsid w:val="00FD19A2"/>
    <w:rsid w:val="00FD7468"/>
    <w:rsid w:val="00FE1C1F"/>
    <w:rsid w:val="00FE2998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5:docId w15:val="{AEE1D7B2-42B0-4AFB-A308-76B6464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30951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076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toimipisteet/kliininen-neurofys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9290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(KNF)</TermName>
          <TermId xmlns="http://schemas.microsoft.com/office/infopath/2007/PartnerControls">ff9f469e-b262-49da-8e94-f3c15bbede0f</TermId>
        </TermInfo>
      </Terms>
    </ma5bcf74d99f485685ec4f94b25f4f39>
    <HB_MetaData xmlns="5f7715f8-5986-4f6c-a91e-03260bf63212">18605</HB_MetaData>
    <HB_DocTitle xmlns="5f7715f8-5986-4f6c-a91e-03260bf63212">Uni_eeg_lapsille.docx</HB_DocTitle>
    <TaxCatchAll xmlns="25ea4492-15d4-4b3d-b62a-d631fc6d931e">
      <Value>27</Value>
    </TaxCatchAll>
  </documentManagement>
</p:properties>
</file>

<file path=customXml/itemProps1.xml><?xml version="1.0" encoding="utf-8"?>
<ds:datastoreItem xmlns:ds="http://schemas.openxmlformats.org/officeDocument/2006/customXml" ds:itemID="{418C055B-AE70-4D69-99FE-73BD6BCD3024}"/>
</file>

<file path=customXml/itemProps2.xml><?xml version="1.0" encoding="utf-8"?>
<ds:datastoreItem xmlns:ds="http://schemas.openxmlformats.org/officeDocument/2006/customXml" ds:itemID="{C5780382-8932-4423-A484-3014CD03CE91}"/>
</file>

<file path=customXml/itemProps3.xml><?xml version="1.0" encoding="utf-8"?>
<ds:datastoreItem xmlns:ds="http://schemas.openxmlformats.org/officeDocument/2006/customXml" ds:itemID="{7A720E49-1CCA-42DC-B5DD-BD90A2927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Uni_eeg_lapsille</vt:lpstr>
    </vt:vector>
  </TitlesOfParts>
  <Company>Kainuun SOTE-kuntayhtymä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Uni_eeg_lapsille.docx</dc:title>
  <dc:subject>Kliininen_neurofysiologia</dc:subject>
  <dc:creator>stsepull</dc:creator>
  <cp:keywords>Kliininen_neurofysiologia</cp:keywords>
  <cp:lastModifiedBy>Hakkarainen Cristiina</cp:lastModifiedBy>
  <cp:revision>4</cp:revision>
  <cp:lastPrinted>2020-09-15T11:16:00Z</cp:lastPrinted>
  <dcterms:created xsi:type="dcterms:W3CDTF">2022-08-02T05:56:00Z</dcterms:created>
  <dcterms:modified xsi:type="dcterms:W3CDTF">2022-08-02T07:05:00Z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Publish_To_ExtSite">
    <vt:lpwstr>27;#Kliininen neurofysiologia (KNF)|ff9f469e-b262-49da-8e94-f3c15bbede0f</vt:lpwstr>
  </property>
  <property fmtid="{D5CDD505-2E9C-101B-9397-08002B2CF9AE}" pid="32" name="URL">
    <vt:lpwstr/>
  </property>
</Properties>
</file>